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spacing w:line="360" w:lineRule="auto"/>
        <w:rPr>
          <w:rFonts w:hint="eastAsia" w:ascii="宋体" w:hAnsi="宋体" w:eastAsia="宋体" w:cs="宋体"/>
          <w:color w:val="auto"/>
          <w:sz w:val="60"/>
          <w:szCs w:val="60"/>
          <w:highlight w:val="none"/>
        </w:rPr>
      </w:pPr>
      <w:r/>
      <w:bookmarkStart w:id="0" w:name="OLE_LINK1"/>
      <w:r/>
      <w:bookmarkStart w:id="1" w:name="OLE_LINK2"/>
      <w:r>
        <w:rPr>
          <w:rFonts w:hint="eastAsia" w:ascii="宋体" w:hAnsi="宋体" w:eastAsia="宋体" w:cs="宋体"/>
          <w:color w:val="auto"/>
          <w:sz w:val="60"/>
          <w:szCs w:val="60"/>
          <w:highlight w:val="none"/>
        </w:rPr>
        <w:t xml:space="preserve">泰州市政府采购项目</w:t>
      </w:r>
      <w:bookmarkEnd w:id="0"/>
      <w:r/>
      <w:bookmarkEnd w:id="1"/>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color w:val="auto"/>
          <w:sz w:val="40"/>
          <w:szCs w:val="40"/>
          <w:highlight w:val="none"/>
        </w:rPr>
      </w:pPr>
      <w:r/>
      <w:bookmarkStart w:id="2" w:name="_Toc28993"/>
      <w:r>
        <w:rPr>
          <w:rFonts w:hint="eastAsia" w:ascii="宋体" w:hAnsi="宋体" w:eastAsia="宋体" w:cs="宋体"/>
          <w:color w:val="auto"/>
          <w:sz w:val="40"/>
          <w:szCs w:val="40"/>
          <w:highlight w:val="none"/>
        </w:rPr>
        <w:t xml:space="preserve">竞争性磋商文件</w:t>
      </w:r>
      <w:bookmarkEnd w:id="2"/>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（全流程电子化不见面开标）</w:t>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pStyle w:val="71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采购项目编号</w:t>
      </w:r>
      <w:r>
        <w:rPr>
          <w:rFonts w:hint="eastAsia" w:ascii="宋体" w:hAnsi="宋体" w:eastAsia="宋体" w:cs="宋体"/>
          <w:color w:val="auto"/>
          <w:sz w:val="32"/>
          <w:szCs w:val="32"/>
          <w:highlight w:val="none"/>
          <w:lang w:eastAsia="zh-CN"/>
        </w:rPr>
        <w:t xml:space="preserve">：JSZC-321202-JSJQ-C2026-0003</w:t>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采购项目名称：</w:t>
      </w:r>
      <w:bookmarkStart w:id="146" w:name="_GoBack"/>
      <w:r/>
      <w:bookmarkEnd w:id="146"/>
      <w:r>
        <w:rPr>
          <w:rFonts w:hint="eastAsia" w:ascii="宋体" w:hAnsi="宋体" w:cs="宋体"/>
          <w:color w:val="auto"/>
          <w:sz w:val="32"/>
          <w:szCs w:val="32"/>
          <w:highlight w:val="none"/>
          <w:lang w:eastAsia="zh-CN"/>
        </w:rPr>
        <w:t xml:space="preserve">泰州第四人民医院无纸化系统</w:t>
      </w:r>
      <w:r/>
    </w:p>
    <w:p>
      <w:pP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采 购 单 位：</w:t>
      </w:r>
      <w:r>
        <w:rPr>
          <w:rFonts w:hint="eastAsia" w:ascii="宋体" w:hAnsi="宋体" w:eastAsia="宋体" w:cs="宋体"/>
          <w:color w:val="auto"/>
          <w:sz w:val="32"/>
          <w:szCs w:val="32"/>
          <w:highlight w:val="none"/>
          <w:lang w:eastAsia="zh-CN"/>
        </w:rPr>
        <w:t xml:space="preserve">泰州市第四人民医院</w:t>
      </w:r>
      <w:r/>
    </w:p>
    <w:p>
      <w:pPr>
        <w:pStyle w:val="913"/>
        <w:ind w:firstLine="0"/>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w:t>
      </w:r>
      <w:r>
        <w:rPr>
          <w:rFonts w:hint="eastAsia" w:ascii="宋体" w:hAnsi="宋体" w:eastAsia="宋体" w:cs="宋体"/>
          <w:color w:val="auto"/>
          <w:sz w:val="32"/>
          <w:szCs w:val="32"/>
          <w:highlight w:val="none"/>
          <w:lang w:eastAsia="zh-CN"/>
        </w:rPr>
        <w:t xml:space="preserve">江苏金秋工程项目管理有限公司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202</w:t>
      </w:r>
      <w:r>
        <w:rPr>
          <w:rFonts w:hint="eastAsia" w:ascii="宋体" w:hAnsi="宋体" w:eastAsia="宋体" w:cs="宋体"/>
          <w:color w:val="auto"/>
          <w:sz w:val="32"/>
          <w:szCs w:val="32"/>
          <w:highlight w:val="none"/>
          <w:lang w:val="en-US" w:eastAsia="zh-CN"/>
        </w:rPr>
        <w:t xml:space="preserve">6</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5</w:t>
      </w:r>
      <w:r>
        <w:rPr>
          <w:rFonts w:hint="eastAsia" w:ascii="宋体" w:hAnsi="宋体" w:eastAsia="宋体" w:cs="宋体"/>
          <w:color w:val="auto"/>
          <w:sz w:val="32"/>
          <w:szCs w:val="32"/>
          <w:highlight w:val="none"/>
        </w:rPr>
        <w:t xml:space="preserve">月</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竞争性磋商采购公告</w:t>
      </w:r>
      <w:r/>
    </w:p>
    <w:p>
      <w:pPr>
        <w:pStyle w:val="906"/>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参加磋商供应商须知</w:t>
      </w:r>
      <w:r/>
    </w:p>
    <w:p>
      <w:pPr>
        <w:pStyle w:val="906"/>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合同条款及格式</w:t>
      </w:r>
      <w:r/>
    </w:p>
    <w:p>
      <w:pPr>
        <w:pStyle w:val="906"/>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项目需求</w:t>
      </w:r>
      <w:r/>
    </w:p>
    <w:p>
      <w:pPr>
        <w:pStyle w:val="906"/>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评审方法和评审标准</w:t>
      </w:r>
      <w:r/>
    </w:p>
    <w:p>
      <w:pPr>
        <w:pStyle w:val="906"/>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响应文件的组成和格式</w:t>
      </w:r>
      <w:r/>
    </w:p>
    <w:p>
      <w:pPr>
        <w:pStyle w:val="889"/>
        <w:keepNext w:val="0"/>
        <w:spacing w:line="360" w:lineRule="auto"/>
        <w:rPr>
          <w:rFonts w:hint="eastAsia" w:ascii="宋体" w:hAnsi="宋体" w:eastAsia="宋体" w:cs="宋体"/>
          <w:color w:val="auto"/>
          <w:sz w:val="40"/>
          <w:szCs w:val="40"/>
          <w:highlight w:val="none"/>
        </w:rPr>
        <w:sectPr>
          <w:footnotePr/>
          <w:endnotePr/>
          <w:type w:val="nextPage"/>
          <w:pgSz w:w="11906" w:h="16838" w:orient="portrait"/>
          <w:pgMar w:top="1417" w:right="1701" w:bottom="1417" w:left="1701" w:header="851" w:footer="992" w:gutter="0"/>
          <w:cols w:num="1" w:sep="0" w:space="0" w:equalWidth="1"/>
          <w:docGrid w:linePitch="360"/>
        </w:sectPr>
      </w:pPr>
      <w:r/>
      <w:bookmarkStart w:id="3" w:name="_Toc24405"/>
      <w:r/>
      <w:bookmarkStart w:id="4" w:name="_Toc32147"/>
      <w:r/>
      <w:r/>
    </w:p>
    <w:p>
      <w:pPr>
        <w:pStyle w:val="889"/>
        <w:jc w:val="center"/>
        <w:keepNext w:val="0"/>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第一章 竞争性磋商</w:t>
      </w:r>
      <w:bookmarkStart w:id="5" w:name="二．报价方须知"/>
      <w:r/>
      <w:bookmarkEnd w:id="5"/>
      <w:r>
        <w:rPr>
          <w:rFonts w:hint="eastAsia" w:ascii="宋体" w:hAnsi="宋体" w:eastAsia="宋体" w:cs="宋体"/>
          <w:color w:val="auto"/>
          <w:sz w:val="40"/>
          <w:szCs w:val="40"/>
          <w:highlight w:val="none"/>
        </w:rPr>
        <w:t xml:space="preserve">采购公告</w:t>
      </w:r>
      <w:bookmarkEnd w:id="3"/>
      <w:r/>
      <w:bookmarkEnd w:id="4"/>
      <w:r/>
      <w:r/>
    </w:p>
    <w:p>
      <w:pPr>
        <w:spacing w:line="360" w:lineRule="auto"/>
        <w:rPr>
          <w:rFonts w:hint="eastAsia" w:ascii="宋体" w:hAnsi="宋体" w:eastAsia="宋体" w:cs="宋体"/>
          <w:color w:val="auto"/>
          <w:sz w:val="24"/>
          <w:szCs w:val="32"/>
          <w:highlight w:val="none"/>
        </w:rPr>
        <w:pBdr>
          <w:top w:val="single" w:color="000000" w:sz="4" w:space="0"/>
          <w:left w:val="single" w:color="000000" w:sz="4" w:space="0"/>
          <w:bottom w:val="single" w:color="000000" w:sz="4" w:space="0"/>
          <w:right w:val="single" w:color="000000" w:sz="4" w:space="0"/>
        </w:pBdr>
      </w:pPr>
      <w:r/>
      <w:bookmarkStart w:id="6" w:name="_Toc28359012"/>
      <w:r/>
      <w:bookmarkStart w:id="7" w:name="_Toc28359089"/>
      <w:r/>
      <w:bookmarkStart w:id="8" w:name="_Toc35393629"/>
      <w:r/>
      <w:bookmarkStart w:id="9" w:name="_Toc35393798"/>
      <w:r>
        <w:rPr>
          <w:rFonts w:hint="eastAsia" w:ascii="宋体" w:hAnsi="宋体" w:eastAsia="宋体" w:cs="宋体"/>
          <w:b/>
          <w:bCs/>
          <w:color w:val="auto"/>
          <w:sz w:val="24"/>
          <w:szCs w:val="32"/>
          <w:highlight w:val="none"/>
        </w:rPr>
        <w:t xml:space="preserve">项目概况</w:t>
      </w:r>
      <w:r/>
    </w:p>
    <w:p>
      <w:pPr>
        <w:ind w:firstLine="480"/>
        <w:spacing w:line="360" w:lineRule="auto"/>
        <w:rPr>
          <w:rFonts w:hint="eastAsia" w:ascii="宋体" w:hAnsi="宋体" w:eastAsia="宋体" w:cs="宋体"/>
          <w:color w:val="auto"/>
          <w:sz w:val="24"/>
          <w:szCs w:val="32"/>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32"/>
          <w:highlight w:val="none"/>
          <w:u w:val="single"/>
          <w:lang w:eastAsia="zh-CN"/>
        </w:rPr>
        <w:t xml:space="preserve">泰州市第四人民医院</w:t>
      </w:r>
      <w:r>
        <w:rPr>
          <w:rFonts w:hint="eastAsia" w:ascii="宋体" w:hAnsi="宋体" w:eastAsia="宋体" w:cs="宋体"/>
          <w:color w:val="auto"/>
          <w:sz w:val="24"/>
          <w:szCs w:val="32"/>
          <w:highlight w:val="none"/>
        </w:rPr>
        <w:t xml:space="preserve">的</w:t>
      </w:r>
      <w:r>
        <w:rPr>
          <w:rFonts w:hint="eastAsia" w:ascii="宋体" w:hAnsi="宋体" w:cs="宋体"/>
          <w:color w:val="auto"/>
          <w:sz w:val="24"/>
          <w:szCs w:val="32"/>
          <w:highlight w:val="none"/>
          <w:u w:val="single"/>
          <w:lang w:eastAsia="zh-CN"/>
        </w:rPr>
        <w:t xml:space="preserve">泰州第四人民医院无纸化系统</w:t>
      </w:r>
      <w:r>
        <w:rPr>
          <w:rFonts w:hint="eastAsia" w:ascii="宋体" w:hAnsi="宋体" w:eastAsia="宋体" w:cs="宋体"/>
          <w:color w:val="auto"/>
          <w:sz w:val="24"/>
          <w:szCs w:val="32"/>
          <w:highlight w:val="none"/>
        </w:rPr>
        <w:t xml:space="preserve">采购项目的潜在供应商可在</w:t>
      </w:r>
      <w:r>
        <w:rPr>
          <w:rFonts w:hint="eastAsia" w:ascii="宋体" w:hAnsi="宋体" w:eastAsia="宋体" w:cs="宋体"/>
          <w:color w:val="auto"/>
          <w:sz w:val="24"/>
          <w:szCs w:val="32"/>
          <w:highlight w:val="none"/>
          <w:u w:val="single"/>
        </w:rPr>
        <w:t xml:space="preserve">江苏省政府采购“苏采云”系统</w:t>
      </w:r>
      <w:r>
        <w:rPr>
          <w:rFonts w:hint="eastAsia" w:ascii="宋体" w:hAnsi="宋体" w:eastAsia="宋体" w:cs="宋体"/>
          <w:color w:val="auto"/>
          <w:sz w:val="24"/>
          <w:szCs w:val="32"/>
          <w:highlight w:val="none"/>
        </w:rPr>
        <w:t xml:space="preserve">自行免费下载磋商文件，并于202</w:t>
      </w:r>
      <w:r>
        <w:rPr>
          <w:rFonts w:hint="eastAsia" w:ascii="宋体" w:hAnsi="宋体" w:eastAsia="宋体" w:cs="宋体"/>
          <w:color w:val="auto"/>
          <w:sz w:val="24"/>
          <w:szCs w:val="32"/>
          <w:highlight w:val="none"/>
          <w:lang w:val="en-US" w:eastAsia="zh-CN"/>
        </w:rPr>
        <w:t xml:space="preserve">6</w:t>
      </w:r>
      <w:r>
        <w:rPr>
          <w:rFonts w:hint="eastAsia" w:ascii="宋体" w:hAnsi="宋体" w:eastAsia="宋体" w:cs="宋体"/>
          <w:bCs/>
          <w:color w:val="auto"/>
          <w:sz w:val="24"/>
          <w:szCs w:val="32"/>
          <w:highlight w:val="none"/>
        </w:rPr>
        <w:t xml:space="preserve">年</w:t>
      </w:r>
      <w:r>
        <w:rPr>
          <w:rFonts w:hint="eastAsia" w:ascii="宋体" w:hAnsi="宋体" w:eastAsia="宋体" w:cs="宋体"/>
          <w:color w:val="auto"/>
          <w:sz w:val="24"/>
          <w:szCs w:val="32"/>
          <w:highlight w:val="none"/>
          <w:lang w:val="en-US" w:eastAsia="zh-CN"/>
        </w:rPr>
        <w:t xml:space="preserve">5</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lang w:val="en-US" w:eastAsia="zh-CN"/>
        </w:rPr>
        <w:t xml:space="preserve">25</w:t>
      </w:r>
      <w:r>
        <w:rPr>
          <w:rFonts w:hint="eastAsia" w:ascii="宋体" w:hAnsi="宋体" w:eastAsia="宋体" w:cs="宋体"/>
          <w:color w:val="auto"/>
          <w:sz w:val="24"/>
          <w:szCs w:val="32"/>
          <w:highlight w:val="none"/>
        </w:rPr>
        <w:t xml:space="preserve">日</w:t>
      </w:r>
      <w:r>
        <w:rPr>
          <w:rFonts w:hint="eastAsia" w:ascii="宋体" w:hAnsi="宋体" w:eastAsia="宋体" w:cs="宋体"/>
          <w:bCs/>
          <w:color w:val="auto"/>
          <w:sz w:val="24"/>
          <w:szCs w:val="32"/>
          <w:highlight w:val="none"/>
          <w:lang w:val="en-US" w:eastAsia="zh-CN"/>
        </w:rPr>
        <w:t xml:space="preserve">9</w:t>
      </w:r>
      <w:r>
        <w:rPr>
          <w:rFonts w:hint="eastAsia" w:ascii="宋体" w:hAnsi="宋体" w:eastAsia="宋体" w:cs="宋体"/>
          <w:bCs/>
          <w:color w:val="auto"/>
          <w:sz w:val="24"/>
          <w:szCs w:val="32"/>
          <w:highlight w:val="none"/>
        </w:rPr>
        <w:t xml:space="preserve">点</w:t>
      </w:r>
      <w:r>
        <w:rPr>
          <w:rFonts w:hint="eastAsia" w:ascii="宋体" w:hAnsi="宋体" w:eastAsia="宋体" w:cs="宋体"/>
          <w:bCs/>
          <w:color w:val="auto"/>
          <w:sz w:val="24"/>
          <w:szCs w:val="32"/>
          <w:highlight w:val="none"/>
          <w:lang w:val="en-US" w:eastAsia="zh-CN"/>
        </w:rPr>
        <w:t xml:space="preserve">3</w:t>
      </w:r>
      <w:r>
        <w:rPr>
          <w:rFonts w:hint="eastAsia" w:ascii="宋体" w:hAnsi="宋体" w:eastAsia="宋体" w:cs="宋体"/>
          <w:bCs/>
          <w:color w:val="auto"/>
          <w:sz w:val="24"/>
          <w:szCs w:val="32"/>
          <w:highlight w:val="none"/>
        </w:rPr>
        <w:t xml:space="preserve">0分（北京时间）前提交响应文件</w:t>
      </w:r>
      <w:r>
        <w:rPr>
          <w:rFonts w:hint="eastAsia" w:ascii="宋体" w:hAnsi="宋体" w:eastAsia="宋体" w:cs="宋体"/>
          <w:color w:val="auto"/>
          <w:sz w:val="24"/>
          <w:szCs w:val="32"/>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一、项目基本情况</w:t>
      </w:r>
      <w:bookmarkEnd w:id="6"/>
      <w:r/>
      <w:bookmarkEnd w:id="7"/>
      <w:r/>
      <w:bookmarkEnd w:id="8"/>
      <w:r/>
      <w:bookmarkEnd w:id="9"/>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项目编号：JSZC-321202-JSJQ-C2026-0003</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项目名称：</w:t>
      </w:r>
      <w:r>
        <w:rPr>
          <w:rFonts w:hint="eastAsia" w:ascii="宋体" w:hAnsi="宋体" w:cs="宋体"/>
          <w:color w:val="auto"/>
          <w:sz w:val="24"/>
          <w:szCs w:val="32"/>
          <w:highlight w:val="none"/>
          <w:lang w:val="en-US" w:eastAsia="zh-CN"/>
        </w:rPr>
        <w:t xml:space="preserve">泰州第四人民医院无纸化系统</w:t>
      </w:r>
      <w:r>
        <w:rPr>
          <w:rFonts w:hint="eastAsia" w:ascii="宋体" w:hAnsi="宋体" w:eastAsia="宋体" w:cs="宋体"/>
          <w:color w:val="auto"/>
          <w:sz w:val="24"/>
          <w:szCs w:val="32"/>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采购方式：竞争性磋商</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预算金额：</w:t>
      </w:r>
      <w:r>
        <w:rPr>
          <w:rFonts w:hint="eastAsia" w:ascii="宋体" w:hAnsi="宋体" w:eastAsia="宋体" w:cs="宋体"/>
          <w:color w:val="auto"/>
          <w:sz w:val="24"/>
          <w:szCs w:val="32"/>
          <w:highlight w:val="none"/>
          <w:lang w:val="en-US" w:eastAsia="zh-CN"/>
        </w:rPr>
        <w:t xml:space="preserve">120</w:t>
      </w:r>
      <w:r>
        <w:rPr>
          <w:rFonts w:hint="eastAsia" w:ascii="宋体" w:hAnsi="宋体" w:eastAsia="宋体" w:cs="宋体"/>
          <w:color w:val="auto"/>
          <w:sz w:val="24"/>
          <w:szCs w:val="32"/>
          <w:highlight w:val="none"/>
        </w:rPr>
        <w:t xml:space="preserve">万元</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最高限价：</w:t>
      </w:r>
      <w:r>
        <w:rPr>
          <w:rFonts w:hint="eastAsia" w:ascii="宋体" w:hAnsi="宋体" w:eastAsia="宋体" w:cs="宋体"/>
          <w:color w:val="auto"/>
          <w:sz w:val="24"/>
          <w:szCs w:val="32"/>
          <w:highlight w:val="none"/>
          <w:lang w:val="en-US" w:eastAsia="zh-CN"/>
        </w:rPr>
        <w:t xml:space="preserve">120</w:t>
      </w:r>
      <w:r>
        <w:rPr>
          <w:rFonts w:hint="eastAsia" w:ascii="宋体" w:hAnsi="宋体" w:eastAsia="宋体" w:cs="宋体"/>
          <w:color w:val="auto"/>
          <w:sz w:val="24"/>
          <w:szCs w:val="32"/>
          <w:highlight w:val="none"/>
        </w:rPr>
        <w:t xml:space="preserve">万元，响应报价不得超过采购项目最高限价金额，否则按无效响应处理；</w:t>
      </w:r>
      <w:r/>
    </w:p>
    <w:p>
      <w:pPr>
        <w:numPr>
          <w:ilvl w:val="0"/>
          <w:numId w:val="0"/>
        </w:numPr>
        <w:ind w:firstLine="420"/>
        <w:spacing w:line="360" w:lineRule="auto"/>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采购需求：</w:t>
      </w:r>
      <w:r>
        <w:rPr>
          <w:rFonts w:hint="eastAsia" w:ascii="宋体" w:hAnsi="宋体" w:eastAsia="宋体" w:cs="宋体"/>
          <w:color w:val="auto"/>
          <w:sz w:val="24"/>
          <w:szCs w:val="32"/>
          <w:highlight w:val="none"/>
          <w:lang w:val="en-US" w:eastAsia="zh-CN"/>
        </w:rPr>
        <w:t xml:space="preserve">详见采购需求。</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合同履行期限：质保期：软件质保1年，质保期内免费提供技术支持及软件升级服务</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交货期：合同</w:t>
      </w:r>
      <w:r>
        <w:rPr>
          <w:rFonts w:hint="eastAsia" w:ascii="宋体" w:hAnsi="宋体" w:eastAsia="宋体" w:cs="宋体"/>
          <w:color w:val="auto"/>
          <w:sz w:val="24"/>
          <w:szCs w:val="32"/>
          <w:highlight w:val="none"/>
          <w:lang w:val="en-US" w:eastAsia="zh-CN"/>
        </w:rPr>
        <w:t xml:space="preserve">签订生效</w:t>
      </w:r>
      <w:r>
        <w:rPr>
          <w:rFonts w:hint="eastAsia" w:ascii="宋体" w:hAnsi="宋体" w:eastAsia="宋体" w:cs="宋体"/>
          <w:color w:val="auto"/>
          <w:sz w:val="24"/>
          <w:szCs w:val="32"/>
          <w:highlight w:val="none"/>
        </w:rPr>
        <w:t xml:space="preserve">后180日内完成。</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本项目（是/否）接受联合体：</w:t>
      </w:r>
      <w:r>
        <w:rPr>
          <w:rFonts w:hint="eastAsia" w:ascii="宋体" w:hAnsi="宋体" w:eastAsia="宋体" w:cs="宋体"/>
          <w:color w:val="auto"/>
          <w:sz w:val="24"/>
          <w:szCs w:val="32"/>
          <w:highlight w:val="none"/>
          <w:lang w:val="en-US" w:eastAsia="zh-CN"/>
        </w:rPr>
        <w:t xml:space="preserve">否</w:t>
      </w:r>
      <w:r>
        <w:rPr>
          <w:rFonts w:hint="eastAsia" w:ascii="宋体" w:hAnsi="宋体" w:eastAsia="宋体" w:cs="宋体"/>
          <w:color w:val="auto"/>
          <w:sz w:val="24"/>
          <w:szCs w:val="32"/>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bookmarkStart w:id="10" w:name="_Toc35393630"/>
      <w:r/>
      <w:bookmarkStart w:id="11" w:name="_Toc35393799"/>
      <w:r/>
      <w:bookmarkStart w:id="12" w:name="_Toc28359013"/>
      <w:r/>
      <w:bookmarkStart w:id="13" w:name="_Toc28359090"/>
      <w:r>
        <w:rPr>
          <w:rFonts w:hint="eastAsia" w:ascii="宋体" w:hAnsi="宋体" w:eastAsia="宋体" w:cs="宋体"/>
          <w:b/>
          <w:color w:val="auto"/>
          <w:sz w:val="24"/>
          <w:szCs w:val="32"/>
          <w:highlight w:val="none"/>
        </w:rPr>
        <w:t xml:space="preserve">二、申请人的资格要求</w:t>
      </w:r>
      <w:bookmarkEnd w:id="10"/>
      <w:r/>
      <w:bookmarkEnd w:id="11"/>
      <w:r/>
      <w:bookmarkEnd w:id="12"/>
      <w:r/>
      <w:bookmarkEnd w:id="13"/>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bookmarkStart w:id="14" w:name="_Toc28359091"/>
      <w:r/>
      <w:bookmarkStart w:id="15" w:name="_Toc28359014"/>
      <w:r/>
      <w:bookmarkStart w:id="16" w:name="_Toc35393800"/>
      <w:r/>
      <w:bookmarkStart w:id="17" w:name="_Toc35393631"/>
      <w:r>
        <w:rPr>
          <w:rFonts w:hint="eastAsia" w:ascii="宋体" w:hAnsi="宋体" w:eastAsia="宋体" w:cs="宋体"/>
          <w:color w:val="auto"/>
          <w:sz w:val="24"/>
          <w:szCs w:val="32"/>
          <w:highlight w:val="none"/>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1.具有独立承担民事责任的能力；</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5.参加政府采购活动前三年内，在经营活动中没有重大违法记录；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6.法律、行政法规规定的其他条件。</w:t>
      </w:r>
      <w:r/>
    </w:p>
    <w:p>
      <w:pPr>
        <w:ind w:firstLine="48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32"/>
          <w:highlight w:val="none"/>
        </w:rPr>
        <w:t xml:space="preserve">（二）落实政府采购政策需满足的资格要求：</w:t>
      </w:r>
      <w:r>
        <w:rPr>
          <w:rFonts w:hint="eastAsia" w:ascii="宋体" w:hAnsi="宋体" w:eastAsia="宋体" w:cs="宋体"/>
          <w:b/>
          <w:bCs/>
          <w:color w:val="auto"/>
          <w:sz w:val="24"/>
          <w:szCs w:val="24"/>
          <w:highlight w:val="none"/>
        </w:rPr>
        <w:t xml:space="preserve">本项目专门面向中小企业采购，供应商所属行业为</w:t>
      </w:r>
      <w:r>
        <w:rPr>
          <w:rFonts w:hint="eastAsia" w:ascii="宋体" w:hAnsi="宋体" w:eastAsia="宋体" w:cs="宋体"/>
          <w:b/>
          <w:bCs/>
          <w:color w:val="auto"/>
          <w:sz w:val="24"/>
          <w:szCs w:val="24"/>
          <w:highlight w:val="none"/>
          <w:u w:val="single"/>
          <w:lang w:eastAsia="zh-CN"/>
        </w:rPr>
        <w:t xml:space="preserve">软件和信息技术服务业</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（三）本项目的特定资格要求：</w:t>
      </w:r>
      <w:r>
        <w:rPr>
          <w:rFonts w:hint="eastAsia" w:ascii="宋体" w:hAnsi="宋体" w:eastAsia="宋体" w:cs="宋体"/>
          <w:color w:val="auto"/>
          <w:sz w:val="24"/>
          <w:szCs w:val="32"/>
          <w:highlight w:val="none"/>
          <w:lang w:val="en-US" w:eastAsia="zh-CN"/>
        </w:rPr>
        <w:t xml:space="preserve">无</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（四）其他要求：</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.供应商未被“信用中国”网站（www.creditchina.gov.cn）列入失信被执行人、重大税收违法案件当事人名单、政府采购严重失信行为记录名单；</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.供应商单位负责人为同一人或者存在直接控股、管理关系的不同供应商，不得参加同一合同项下的采购活动</w:t>
      </w:r>
      <w:r>
        <w:rPr>
          <w:rFonts w:hint="eastAsia" w:ascii="宋体" w:hAnsi="宋体" w:eastAsia="宋体" w:cs="宋体"/>
          <w:color w:val="auto"/>
          <w:sz w:val="24"/>
          <w:szCs w:val="32"/>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三、获取采购文件</w:t>
      </w:r>
      <w:bookmarkEnd w:id="14"/>
      <w:r/>
      <w:bookmarkEnd w:id="15"/>
      <w:r/>
      <w:bookmarkEnd w:id="16"/>
      <w:r/>
      <w:bookmarkEnd w:id="17"/>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时间：</w:t>
      </w:r>
      <w:bookmarkStart w:id="18" w:name="_Toc28359015"/>
      <w:r/>
      <w:bookmarkStart w:id="19" w:name="_Toc35393801"/>
      <w:r/>
      <w:bookmarkStart w:id="20" w:name="_Toc35393632"/>
      <w:r/>
      <w:bookmarkStart w:id="21" w:name="_Toc28359092"/>
      <w:r>
        <w:rPr>
          <w:rFonts w:hint="eastAsia" w:ascii="宋体" w:hAnsi="宋体" w:eastAsia="宋体" w:cs="宋体"/>
          <w:color w:val="auto"/>
          <w:sz w:val="24"/>
          <w:szCs w:val="32"/>
          <w:highlight w:val="none"/>
        </w:rPr>
        <w:t xml:space="preserve">自磋商文件公告发布之日起5个工作日；</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地点：江苏政府采购“苏采云”系统；</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方式：投标人完成注册并办理CA证书后登录“苏采云”政府采购一体化平台，选择本项目点击“我要参与”并下载本项目采购文件；</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售价：0.00元。</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rPr>
          <w:rFonts w:hint="eastAsia" w:ascii="宋体" w:hAnsi="宋体" w:eastAsia="宋体" w:cs="宋体"/>
          <w:b/>
          <w:color w:val="auto"/>
          <w:sz w:val="24"/>
          <w:szCs w:val="32"/>
          <w:highlight w:val="none"/>
        </w:rPr>
        <w:t xml:space="preserve">四、响应文件提交</w:t>
      </w:r>
      <w:bookmarkEnd w:id="18"/>
      <w:r/>
      <w:bookmarkEnd w:id="19"/>
      <w:r/>
      <w:bookmarkEnd w:id="20"/>
      <w:r/>
      <w:bookmarkEnd w:id="21"/>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截止时间：202</w:t>
      </w:r>
      <w:r>
        <w:rPr>
          <w:rFonts w:hint="eastAsia" w:ascii="宋体" w:hAnsi="宋体" w:eastAsia="宋体" w:cs="宋体"/>
          <w:color w:val="auto"/>
          <w:sz w:val="24"/>
          <w:szCs w:val="32"/>
          <w:highlight w:val="none"/>
          <w:lang w:val="en-US" w:eastAsia="zh-CN"/>
        </w:rPr>
        <w:t xml:space="preserve">6</w:t>
      </w:r>
      <w:r>
        <w:rPr>
          <w:rFonts w:hint="eastAsia" w:ascii="宋体" w:hAnsi="宋体" w:eastAsia="宋体" w:cs="宋体"/>
          <w:color w:val="auto"/>
          <w:sz w:val="24"/>
          <w:szCs w:val="32"/>
          <w:highlight w:val="none"/>
        </w:rPr>
        <w:t xml:space="preserve">年</w:t>
      </w:r>
      <w:r>
        <w:rPr>
          <w:rFonts w:hint="eastAsia" w:ascii="宋体" w:hAnsi="宋体" w:eastAsia="宋体" w:cs="宋体"/>
          <w:color w:val="auto"/>
          <w:sz w:val="24"/>
          <w:szCs w:val="32"/>
          <w:highlight w:val="none"/>
          <w:lang w:val="en-US" w:eastAsia="zh-CN"/>
        </w:rPr>
        <w:t xml:space="preserve">5</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lang w:val="en-US" w:eastAsia="zh-CN"/>
        </w:rPr>
        <w:t xml:space="preserve">25</w:t>
      </w:r>
      <w:r>
        <w:rPr>
          <w:rFonts w:hint="eastAsia" w:ascii="宋体" w:hAnsi="宋体" w:eastAsia="宋体" w:cs="宋体"/>
          <w:color w:val="auto"/>
          <w:sz w:val="24"/>
          <w:szCs w:val="32"/>
          <w:highlight w:val="none"/>
        </w:rPr>
        <w:t xml:space="preserve">日</w:t>
      </w:r>
      <w:r>
        <w:rPr>
          <w:rFonts w:hint="eastAsia" w:ascii="宋体" w:hAnsi="宋体" w:eastAsia="宋体" w:cs="宋体"/>
          <w:color w:val="auto"/>
          <w:sz w:val="24"/>
          <w:szCs w:val="32"/>
          <w:highlight w:val="none"/>
          <w:lang w:val="en-US" w:eastAsia="zh-CN"/>
        </w:rPr>
        <w:t xml:space="preserve">9</w:t>
      </w:r>
      <w:r>
        <w:rPr>
          <w:rFonts w:hint="eastAsia" w:ascii="宋体" w:hAnsi="宋体" w:eastAsia="宋体" w:cs="宋体"/>
          <w:color w:val="auto"/>
          <w:sz w:val="24"/>
          <w:szCs w:val="32"/>
          <w:highlight w:val="none"/>
        </w:rPr>
        <w:t xml:space="preserve">点</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0分（北京时间）；</w:t>
      </w:r>
      <w:r/>
    </w:p>
    <w:p>
      <w:pPr>
        <w:ind w:firstLine="420"/>
        <w:keepLines w:val="0"/>
        <w:keepNext w:val="0"/>
        <w:pageBreakBefore w:val="0"/>
        <w:spacing w:line="360" w:lineRule="auto"/>
        <w:widowControl w:val="off"/>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rPr>
        <w:t xml:space="preserve">地点：“苏采云”系统（网址：</w:t>
      </w:r>
      <w:bookmarkStart w:id="22" w:name="OLE_LINK38"/>
      <w:r/>
      <w:bookmarkStart w:id="23" w:name="OLE_LINK37"/>
      <w:r>
        <w:rPr>
          <w:rFonts w:hint="eastAsia" w:ascii="宋体" w:hAnsi="宋体" w:eastAsia="宋体" w:cs="宋体"/>
          <w:color w:val="auto"/>
          <w:sz w:val="24"/>
          <w:szCs w:val="32"/>
          <w:highlight w:val="none"/>
        </w:rPr>
        <w:t xml:space="preserve">http://jszfcg.jsczt.cn/</w:t>
      </w:r>
      <w:bookmarkEnd w:id="22"/>
      <w:r/>
      <w:bookmarkEnd w:id="23"/>
      <w:r>
        <w:rPr>
          <w:rFonts w:hint="eastAsia" w:ascii="宋体" w:hAnsi="宋体" w:eastAsia="宋体" w:cs="宋体"/>
          <w:color w:val="auto"/>
          <w:sz w:val="24"/>
          <w:szCs w:val="32"/>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bookmarkStart w:id="24" w:name="_Toc28359016"/>
      <w:r/>
      <w:bookmarkStart w:id="25" w:name="_Toc28359093"/>
      <w:r/>
      <w:bookmarkStart w:id="26" w:name="_Toc35393633"/>
      <w:r/>
      <w:bookmarkStart w:id="27" w:name="_Toc35393802"/>
      <w:r>
        <w:rPr>
          <w:rFonts w:hint="eastAsia" w:ascii="宋体" w:hAnsi="宋体" w:eastAsia="宋体" w:cs="宋体"/>
          <w:b/>
          <w:color w:val="auto"/>
          <w:sz w:val="24"/>
          <w:szCs w:val="32"/>
          <w:highlight w:val="none"/>
        </w:rPr>
        <w:t xml:space="preserve">五、开启</w:t>
      </w:r>
      <w:bookmarkEnd w:id="24"/>
      <w:r/>
      <w:bookmarkEnd w:id="25"/>
      <w:r/>
      <w:bookmarkEnd w:id="26"/>
      <w:r/>
      <w:bookmarkEnd w:id="27"/>
      <w:r>
        <w:rPr>
          <w:rFonts w:hint="eastAsia" w:ascii="宋体" w:hAnsi="宋体" w:eastAsia="宋体" w:cs="宋体"/>
          <w:b/>
          <w:color w:val="auto"/>
          <w:sz w:val="24"/>
          <w:szCs w:val="32"/>
          <w:highlight w:val="none"/>
        </w:rPr>
        <w:t xml:space="preserve">（开标时间）</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时间：202</w:t>
      </w:r>
      <w:r>
        <w:rPr>
          <w:rFonts w:hint="eastAsia" w:ascii="宋体" w:hAnsi="宋体" w:eastAsia="宋体" w:cs="宋体"/>
          <w:color w:val="auto"/>
          <w:sz w:val="24"/>
          <w:szCs w:val="32"/>
          <w:highlight w:val="none"/>
          <w:lang w:val="en-US" w:eastAsia="zh-CN"/>
        </w:rPr>
        <w:t xml:space="preserve">6</w:t>
      </w:r>
      <w:r>
        <w:rPr>
          <w:rFonts w:hint="eastAsia" w:ascii="宋体" w:hAnsi="宋体" w:eastAsia="宋体" w:cs="宋体"/>
          <w:color w:val="auto"/>
          <w:sz w:val="24"/>
          <w:szCs w:val="32"/>
          <w:highlight w:val="none"/>
        </w:rPr>
        <w:t xml:space="preserve">年</w:t>
      </w:r>
      <w:r>
        <w:rPr>
          <w:rFonts w:hint="eastAsia" w:ascii="宋体" w:hAnsi="宋体" w:eastAsia="宋体" w:cs="宋体"/>
          <w:color w:val="auto"/>
          <w:sz w:val="24"/>
          <w:szCs w:val="32"/>
          <w:highlight w:val="none"/>
          <w:lang w:val="en-US" w:eastAsia="zh-CN"/>
        </w:rPr>
        <w:t xml:space="preserve">5</w:t>
      </w:r>
      <w:r>
        <w:rPr>
          <w:rFonts w:hint="eastAsia" w:ascii="宋体" w:hAnsi="宋体" w:eastAsia="宋体" w:cs="宋体"/>
          <w:color w:val="auto"/>
          <w:sz w:val="24"/>
          <w:szCs w:val="32"/>
          <w:highlight w:val="none"/>
        </w:rPr>
        <w:t xml:space="preserve">月</w:t>
      </w:r>
      <w:r>
        <w:rPr>
          <w:rFonts w:hint="eastAsia" w:ascii="宋体" w:hAnsi="宋体" w:eastAsia="宋体" w:cs="宋体"/>
          <w:color w:val="auto"/>
          <w:sz w:val="24"/>
          <w:szCs w:val="32"/>
          <w:highlight w:val="none"/>
          <w:lang w:val="en-US" w:eastAsia="zh-CN"/>
        </w:rPr>
        <w:t xml:space="preserve">25</w:t>
      </w:r>
      <w:r>
        <w:rPr>
          <w:rFonts w:hint="eastAsia" w:ascii="宋体" w:hAnsi="宋体" w:eastAsia="宋体" w:cs="宋体"/>
          <w:color w:val="auto"/>
          <w:sz w:val="24"/>
          <w:szCs w:val="32"/>
          <w:highlight w:val="none"/>
        </w:rPr>
        <w:t xml:space="preserve">日</w:t>
      </w:r>
      <w:r>
        <w:rPr>
          <w:rFonts w:hint="eastAsia" w:ascii="宋体" w:hAnsi="宋体" w:eastAsia="宋体" w:cs="宋体"/>
          <w:color w:val="auto"/>
          <w:sz w:val="24"/>
          <w:szCs w:val="32"/>
          <w:highlight w:val="none"/>
          <w:lang w:val="en-US" w:eastAsia="zh-CN"/>
        </w:rPr>
        <w:t xml:space="preserve">9</w:t>
      </w:r>
      <w:r>
        <w:rPr>
          <w:rFonts w:hint="eastAsia" w:ascii="宋体" w:hAnsi="宋体" w:eastAsia="宋体" w:cs="宋体"/>
          <w:color w:val="auto"/>
          <w:sz w:val="24"/>
          <w:szCs w:val="32"/>
          <w:highlight w:val="none"/>
        </w:rPr>
        <w:t xml:space="preserve">点</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0分（北京时间）；</w:t>
      </w:r>
      <w:r/>
    </w:p>
    <w:p>
      <w:pPr>
        <w:ind w:firstLine="420"/>
        <w:keepLines w:val="0"/>
        <w:keepNext w:val="0"/>
        <w:pageBreakBefore w:val="0"/>
        <w:spacing w:line="360" w:lineRule="auto"/>
        <w:widowControl w:val="off"/>
        <w:rPr>
          <w:rFonts w:hint="eastAsia" w:ascii="宋体" w:hAnsi="宋体" w:eastAsia="宋体" w:cs="宋体"/>
          <w:bCs/>
          <w:color w:val="auto"/>
          <w:sz w:val="24"/>
          <w:szCs w:val="32"/>
          <w:highlight w:val="none"/>
        </w:rPr>
      </w:pPr>
      <w:r>
        <w:rPr>
          <w:rFonts w:hint="eastAsia" w:ascii="宋体" w:hAnsi="宋体" w:eastAsia="宋体" w:cs="宋体"/>
          <w:color w:val="auto"/>
          <w:sz w:val="24"/>
          <w:szCs w:val="32"/>
          <w:highlight w:val="none"/>
        </w:rPr>
        <w:t xml:space="preserve">地点：“苏采云”系统（网址：http://jszfcg.jsczt.cn/）“开标大厅”。</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bookmarkStart w:id="28" w:name="_Toc35393803"/>
      <w:r/>
      <w:bookmarkStart w:id="29" w:name="_Toc28359094"/>
      <w:r/>
      <w:bookmarkStart w:id="30" w:name="_Toc28359017"/>
      <w:r/>
      <w:bookmarkStart w:id="31" w:name="_Toc35393634"/>
      <w:r>
        <w:rPr>
          <w:rFonts w:hint="eastAsia" w:ascii="宋体" w:hAnsi="宋体" w:eastAsia="宋体" w:cs="宋体"/>
          <w:b/>
          <w:color w:val="auto"/>
          <w:sz w:val="24"/>
          <w:szCs w:val="32"/>
          <w:highlight w:val="none"/>
        </w:rPr>
        <w:t xml:space="preserve">六、公告期限</w:t>
      </w:r>
      <w:bookmarkEnd w:id="28"/>
      <w:r/>
      <w:bookmarkEnd w:id="29"/>
      <w:r/>
      <w:bookmarkEnd w:id="30"/>
      <w:r/>
      <w:bookmarkEnd w:id="31"/>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自本公告发布之日起3个工作日。</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bookmarkStart w:id="32" w:name="_Toc35393635"/>
      <w:r/>
      <w:bookmarkStart w:id="33" w:name="_Toc35393804"/>
      <w:r>
        <w:rPr>
          <w:rFonts w:hint="eastAsia" w:ascii="宋体" w:hAnsi="宋体" w:eastAsia="宋体" w:cs="宋体"/>
          <w:b/>
          <w:color w:val="auto"/>
          <w:sz w:val="24"/>
          <w:szCs w:val="32"/>
          <w:highlight w:val="none"/>
        </w:rPr>
        <w:t xml:space="preserve">七、其他补充事宜</w:t>
      </w:r>
      <w:bookmarkEnd w:id="32"/>
      <w:r/>
      <w:bookmarkEnd w:id="33"/>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具体办理指南和操作手册见链接：http://www.ccgp-jiangsu.gov.cn/jiangsu/zlxz/ee/ee3a4bc5a3454aa2b0d9312230633ce9.html。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2.有关本次招标的事项若存在变动或修改，敬请及时关注“江苏政府采购网”发布的更正公告。</w:t>
      </w:r>
      <w:r/>
    </w:p>
    <w:p>
      <w:pPr>
        <w:ind w:firstLine="422"/>
        <w:keepLines w:val="0"/>
        <w:keepNext w:val="0"/>
        <w:pageBreakBefore w:val="0"/>
        <w:spacing w:line="360" w:lineRule="auto"/>
        <w:widowControl w:val="off"/>
        <w:rPr>
          <w:rFonts w:hint="eastAsia" w:ascii="宋体" w:hAnsi="宋体" w:eastAsia="宋体" w:cs="宋体"/>
          <w:b/>
          <w:color w:val="auto"/>
          <w:sz w:val="24"/>
          <w:szCs w:val="32"/>
          <w:highlight w:val="none"/>
        </w:rPr>
      </w:pPr>
      <w:r/>
      <w:bookmarkStart w:id="34" w:name="_Toc28359018"/>
      <w:r/>
      <w:bookmarkStart w:id="35" w:name="_Toc35393805"/>
      <w:r/>
      <w:bookmarkStart w:id="36" w:name="_Toc35393636"/>
      <w:r/>
      <w:bookmarkStart w:id="37" w:name="_Toc28359095"/>
      <w:r>
        <w:rPr>
          <w:rFonts w:hint="eastAsia" w:ascii="宋体" w:hAnsi="宋体" w:eastAsia="宋体" w:cs="宋体"/>
          <w:b/>
          <w:color w:val="auto"/>
          <w:sz w:val="24"/>
          <w:szCs w:val="32"/>
          <w:highlight w:val="none"/>
        </w:rPr>
        <w:t xml:space="preserve">八、凡对本次采购提出询问，请按以下方式联系</w:t>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1.采购人：泰州市第四人民医院</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地址：泰州市鼓楼北路99号 </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32"/>
          <w:highlight w:val="none"/>
          <w:lang w:val="en-US" w:eastAsia="zh-CN"/>
        </w:rPr>
        <w:t xml:space="preserve">储先生</w:t>
      </w:r>
      <w:r>
        <w:rPr>
          <w:rFonts w:hint="eastAsia" w:ascii="宋体" w:hAnsi="宋体" w:eastAsia="宋体" w:cs="宋体"/>
          <w:color w:val="auto"/>
          <w:sz w:val="24"/>
          <w:szCs w:val="32"/>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0523-80185098</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名称：江苏金秋工程项目管理有限公司</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地址：江苏省泰州市创美科技产业园6幢103室 </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联系人：钱巍 </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联系方式：18652618087</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邮箱：644760611@qq.com</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项目联系人：钱巍</w:t>
      </w:r>
      <w:r/>
    </w:p>
    <w:p>
      <w:pPr>
        <w:ind w:firstLine="420"/>
        <w:jc w:val="both"/>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电  话：18652618087        邮  箱：644760611@qq.com </w:t>
      </w:r>
      <w:r/>
    </w:p>
    <w:p>
      <w:pPr>
        <w:ind w:firstLine="420"/>
        <w:jc w:val="both"/>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40"/>
          <w:szCs w:val="40"/>
          <w:highlight w:val="none"/>
        </w:rPr>
      </w:pPr>
      <w:r>
        <w:rPr>
          <w:rFonts w:hint="eastAsia" w:ascii="宋体" w:hAnsi="宋体" w:eastAsia="宋体" w:cs="宋体"/>
          <w:color w:val="auto"/>
          <w:sz w:val="24"/>
          <w:szCs w:val="32"/>
          <w:highlight w:val="none"/>
        </w:rPr>
        <w:br w:type="page" w:clear="all"/>
      </w:r>
      <w:r/>
    </w:p>
    <w:p>
      <w:pPr>
        <w:numPr>
          <w:ilvl w:val="0"/>
          <w:numId w:val="0"/>
        </w:numPr>
        <w:jc w:val="center"/>
        <w:spacing w:line="360" w:lineRule="auto"/>
        <w:rPr>
          <w:rFonts w:hint="eastAsia" w:ascii="宋体" w:hAnsi="宋体" w:eastAsia="宋体" w:cs="宋体"/>
          <w:b/>
          <w:bCs/>
          <w:color w:val="auto"/>
          <w:sz w:val="40"/>
          <w:szCs w:val="48"/>
          <w:highlight w:val="none"/>
        </w:rPr>
        <w:outlineLvl w:val="0"/>
      </w:pPr>
      <w:r>
        <w:rPr>
          <w:rFonts w:hint="eastAsia" w:ascii="宋体" w:hAnsi="宋体" w:eastAsia="宋体" w:cs="宋体"/>
          <w:b/>
          <w:bCs/>
          <w:color w:val="auto"/>
          <w:sz w:val="40"/>
          <w:szCs w:val="48"/>
          <w:highlight w:val="none"/>
          <w:lang w:val="en-US" w:eastAsia="zh-CN" w:bidi="ar-SA"/>
        </w:rPr>
        <w:t xml:space="preserve">第二章  </w:t>
      </w:r>
      <w:r>
        <w:rPr>
          <w:rFonts w:hint="eastAsia" w:ascii="宋体" w:hAnsi="宋体" w:eastAsia="宋体" w:cs="宋体"/>
          <w:b/>
          <w:bCs/>
          <w:color w:val="auto"/>
          <w:sz w:val="40"/>
          <w:szCs w:val="48"/>
          <w:highlight w:val="none"/>
        </w:rPr>
        <w:t xml:space="preserve">参加磋商供应商须知</w:t>
      </w:r>
      <w:r/>
    </w:p>
    <w:p>
      <w:pPr>
        <w:numPr>
          <w:ilvl w:val="0"/>
          <w:numId w:val="0"/>
        </w:numPr>
        <w:jc w:val="center"/>
        <w:spacing w:line="360" w:lineRule="auto"/>
        <w:rPr>
          <w:rFonts w:hint="eastAsia" w:ascii="宋体" w:hAnsi="宋体" w:eastAsia="宋体" w:cs="宋体"/>
          <w:b/>
          <w:color w:val="auto"/>
          <w:sz w:val="24"/>
          <w:szCs w:val="32"/>
          <w:highlight w:val="none"/>
        </w:rPr>
      </w:pPr>
      <w:r>
        <w:rPr>
          <w:rFonts w:hint="eastAsia" w:ascii="宋体" w:hAnsi="宋体" w:eastAsia="宋体" w:cs="宋体"/>
          <w:color w:val="auto"/>
          <w:sz w:val="24"/>
          <w:szCs w:val="32"/>
          <w:highlight w:val="none"/>
        </w:rPr>
        <w:t xml:space="preserve">（参加竞争性磋商的供应商以下简称“磋商供应商”）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一、总则</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1.适用范围</w:t>
      </w:r>
      <w:r>
        <w:rPr>
          <w:rFonts w:hint="eastAsia" w:ascii="宋体" w:hAnsi="宋体" w:eastAsia="宋体" w:cs="宋体"/>
          <w:color w:val="auto"/>
          <w:sz w:val="24"/>
          <w:szCs w:val="32"/>
          <w:highlight w:val="none"/>
        </w:rPr>
        <w:tab/>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本磋商文件仅适用于</w:t>
      </w:r>
      <w:r>
        <w:rPr>
          <w:rFonts w:hint="eastAsia" w:ascii="宋体" w:hAnsi="宋体" w:cs="宋体"/>
          <w:color w:val="auto"/>
          <w:sz w:val="24"/>
          <w:szCs w:val="32"/>
          <w:highlight w:val="none"/>
          <w:lang w:eastAsia="zh-CN"/>
        </w:rPr>
        <w:t xml:space="preserve">泰州第四人民医院无纸化系统</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2.项目采购方式</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本次采购采取竞争性磋商的方式。</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3.合格的磋商供应商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3.1满足本磋商文件“竞争性磋商采购公告”中申请人的资格要求的规定。</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3.2满足本磋商文件实质性要求和条件的规定。</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4.参加磋商费用</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4.1参加磋商供应商应自行承担所有与参加磋商有关的费用。不论最终的成交结果如何，</w:t>
      </w:r>
      <w:r>
        <w:rPr>
          <w:rFonts w:hint="eastAsia" w:ascii="宋体" w:hAnsi="宋体" w:eastAsia="宋体" w:cs="宋体"/>
          <w:color w:val="auto"/>
          <w:sz w:val="24"/>
          <w:szCs w:val="32"/>
          <w:highlight w:val="none"/>
          <w:lang w:eastAsia="zh-CN"/>
        </w:rPr>
        <w:t xml:space="preserve">江苏金秋工程项目管理有限公司</w:t>
      </w:r>
      <w:r>
        <w:rPr>
          <w:rFonts w:hint="eastAsia" w:ascii="宋体" w:hAnsi="宋体" w:eastAsia="宋体" w:cs="宋体"/>
          <w:color w:val="auto"/>
          <w:sz w:val="24"/>
          <w:szCs w:val="32"/>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5.磋商文件的约束力</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w:t>
      </w:r>
      <w:bookmarkStart w:id="38" w:name="_Toc513029211"/>
      <w:r/>
      <w:bookmarkStart w:id="39" w:name="_Toc16938527"/>
      <w:r/>
      <w:bookmarkStart w:id="40" w:name="_Toc20823283"/>
      <w:r/>
      <w:bookmarkStart w:id="41" w:name="_Toc462564070"/>
      <w:r>
        <w:rPr>
          <w:rFonts w:hint="eastAsia" w:ascii="宋体" w:hAnsi="宋体" w:eastAsia="宋体" w:cs="宋体"/>
          <w:color w:val="auto"/>
          <w:sz w:val="24"/>
          <w:szCs w:val="32"/>
          <w:highlight w:val="none"/>
        </w:rPr>
        <w:t xml:space="preserve">.磋商文件的澄清</w:t>
      </w:r>
      <w:bookmarkEnd w:id="38"/>
      <w:r/>
      <w:bookmarkEnd w:id="39"/>
      <w:r/>
      <w:bookmarkEnd w:id="40"/>
      <w:r/>
      <w:bookmarkEnd w:id="41"/>
      <w:r>
        <w:rPr>
          <w:rFonts w:hint="eastAsia" w:ascii="宋体" w:hAnsi="宋体" w:eastAsia="宋体" w:cs="宋体"/>
          <w:color w:val="auto"/>
          <w:sz w:val="24"/>
          <w:szCs w:val="32"/>
          <w:highlight w:val="none"/>
        </w:rPr>
        <w:t xml:space="preserve">及修改</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6.2代理机构不组织供应商进行现场考察或召开磋商前答疑会。</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7.合同形式：</w:t>
      </w:r>
      <w:r>
        <w:rPr>
          <w:rFonts w:hint="eastAsia" w:ascii="宋体" w:hAnsi="宋体" w:eastAsia="宋体" w:cs="宋体"/>
          <w:color w:val="auto"/>
          <w:sz w:val="24"/>
          <w:szCs w:val="32"/>
          <w:highlight w:val="none"/>
          <w:u w:val="single"/>
        </w:rPr>
        <w:t xml:space="preserve">固定</w:t>
      </w:r>
      <w:r>
        <w:rPr>
          <w:rFonts w:hint="eastAsia" w:ascii="宋体" w:hAnsi="宋体" w:eastAsia="宋体" w:cs="宋体"/>
          <w:color w:val="auto"/>
          <w:sz w:val="24"/>
          <w:szCs w:val="32"/>
          <w:highlight w:val="none"/>
          <w:u w:val="single"/>
          <w:lang w:val="en-US" w:eastAsia="zh-CN"/>
        </w:rPr>
        <w:t xml:space="preserve">总</w:t>
      </w:r>
      <w:r>
        <w:rPr>
          <w:rFonts w:hint="eastAsia" w:ascii="宋体" w:hAnsi="宋体" w:eastAsia="宋体" w:cs="宋体"/>
          <w:color w:val="auto"/>
          <w:sz w:val="24"/>
          <w:szCs w:val="32"/>
          <w:highlight w:val="none"/>
          <w:u w:val="single"/>
        </w:rPr>
        <w:t xml:space="preserve">价合同</w:t>
      </w:r>
      <w:r/>
    </w:p>
    <w:p>
      <w:pPr>
        <w:ind w:firstLine="420"/>
        <w:spacing w:line="360" w:lineRule="auto"/>
        <w:rPr>
          <w:rFonts w:hint="eastAsia" w:ascii="宋体" w:hAnsi="宋体" w:eastAsia="宋体" w:cs="宋体"/>
          <w:color w:val="auto"/>
          <w:sz w:val="24"/>
          <w:szCs w:val="32"/>
          <w:highlight w:val="none"/>
        </w:rPr>
      </w:pPr>
      <w:r/>
      <w:bookmarkStart w:id="42" w:name="_Toc462564072"/>
      <w:r/>
      <w:bookmarkStart w:id="43" w:name="_Toc513029213"/>
      <w:r/>
      <w:bookmarkStart w:id="44" w:name="_Toc14577351"/>
      <w:r/>
      <w:bookmarkStart w:id="45" w:name="_Toc61149553"/>
      <w:r>
        <w:rPr>
          <w:rFonts w:hint="eastAsia" w:ascii="宋体" w:hAnsi="宋体" w:eastAsia="宋体" w:cs="宋体"/>
          <w:color w:val="auto"/>
          <w:sz w:val="24"/>
          <w:szCs w:val="32"/>
          <w:highlight w:val="none"/>
        </w:rPr>
        <w:t xml:space="preserve">二、磋商响应文件的编制</w:t>
      </w:r>
      <w:bookmarkEnd w:id="42"/>
      <w:r/>
      <w:bookmarkEnd w:id="43"/>
      <w:r/>
      <w:bookmarkEnd w:id="44"/>
      <w:r/>
      <w:bookmarkEnd w:id="45"/>
      <w:r>
        <w:rPr>
          <w:rFonts w:hint="eastAsia" w:ascii="宋体" w:hAnsi="宋体" w:eastAsia="宋体" w:cs="宋体"/>
          <w:color w:val="auto"/>
          <w:sz w:val="24"/>
          <w:szCs w:val="32"/>
          <w:highlight w:val="none"/>
        </w:rPr>
        <w:t xml:space="preserve">及保证金收取</w:t>
      </w:r>
      <w:r/>
    </w:p>
    <w:p>
      <w:pPr>
        <w:ind w:firstLine="420"/>
        <w:spacing w:line="360" w:lineRule="auto"/>
        <w:rPr>
          <w:rFonts w:hint="eastAsia" w:ascii="宋体" w:hAnsi="宋体" w:eastAsia="宋体" w:cs="宋体"/>
          <w:color w:val="auto"/>
          <w:sz w:val="24"/>
          <w:szCs w:val="32"/>
          <w:highlight w:val="none"/>
        </w:rPr>
      </w:pPr>
      <w:r/>
      <w:bookmarkStart w:id="46" w:name="_Hlt26954834"/>
      <w:r/>
      <w:bookmarkEnd w:id="46"/>
      <w:r/>
      <w:bookmarkStart w:id="47" w:name="_Toc513029215"/>
      <w:r/>
      <w:bookmarkStart w:id="48" w:name="_Toc61149555"/>
      <w:r/>
      <w:bookmarkStart w:id="49" w:name="_Toc14577353"/>
      <w:r/>
      <w:bookmarkStart w:id="50" w:name="_Toc462564074"/>
      <w:r/>
      <w:bookmarkStart w:id="51" w:name="_Toc462564073"/>
      <w:r/>
      <w:bookmarkStart w:id="52" w:name="_Toc14577352"/>
      <w:r/>
      <w:bookmarkStart w:id="53" w:name="_Toc61149554"/>
      <w:r/>
      <w:bookmarkStart w:id="54" w:name="_Toc513029214"/>
      <w:r>
        <w:rPr>
          <w:rFonts w:hint="eastAsia" w:ascii="宋体" w:hAnsi="宋体" w:eastAsia="宋体" w:cs="宋体"/>
          <w:color w:val="auto"/>
          <w:sz w:val="24"/>
          <w:szCs w:val="32"/>
          <w:highlight w:val="none"/>
        </w:rPr>
        <w:t xml:space="preserve">1.响应文件</w:t>
      </w:r>
      <w:bookmarkEnd w:id="47"/>
      <w:r/>
      <w:bookmarkEnd w:id="48"/>
      <w:r/>
      <w:bookmarkEnd w:id="49"/>
      <w:r/>
      <w:bookmarkEnd w:id="50"/>
      <w:r>
        <w:rPr>
          <w:rFonts w:hint="eastAsia" w:ascii="宋体" w:hAnsi="宋体" w:eastAsia="宋体" w:cs="宋体"/>
          <w:color w:val="auto"/>
          <w:sz w:val="24"/>
          <w:szCs w:val="32"/>
          <w:highlight w:val="none"/>
        </w:rPr>
        <w:t xml:space="preserve">编制要求</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1.1磋商供应商提交的响应文件以及其与代理机构及采购人就有关磋商的所有来往函电均应使用简体中文。磋商文件中既有中文也有外文的，以中文意义为准。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1.2除技术性能另有规定外，响应文件所使用的度量衡单位，均须采用国家法定计量单位。</w:t>
      </w:r>
      <w:bookmarkEnd w:id="51"/>
      <w:r/>
      <w:bookmarkEnd w:id="52"/>
      <w:r/>
      <w:bookmarkEnd w:id="53"/>
      <w:r/>
      <w:bookmarkEnd w:id="54"/>
      <w:r/>
      <w:r/>
    </w:p>
    <w:p>
      <w:pPr>
        <w:ind w:firstLine="420"/>
        <w:spacing w:line="360" w:lineRule="auto"/>
        <w:rPr>
          <w:rFonts w:hint="eastAsia" w:ascii="宋体" w:hAnsi="宋体" w:eastAsia="宋体" w:cs="宋体"/>
          <w:color w:val="auto"/>
          <w:sz w:val="24"/>
          <w:szCs w:val="32"/>
          <w:highlight w:val="none"/>
        </w:rPr>
      </w:pPr>
      <w:r/>
      <w:bookmarkStart w:id="55" w:name="_Hlt26954836"/>
      <w:r/>
      <w:bookmarkEnd w:id="55"/>
      <w:r/>
      <w:bookmarkStart w:id="56" w:name="_Hlt26670357"/>
      <w:r/>
      <w:bookmarkEnd w:id="56"/>
      <w:r/>
      <w:bookmarkStart w:id="57" w:name="_Toc513029219"/>
      <w:r/>
      <w:bookmarkStart w:id="58" w:name="_Toc14577357"/>
      <w:r/>
      <w:bookmarkStart w:id="59" w:name="_Toc61149558"/>
      <w:r/>
      <w:bookmarkStart w:id="60" w:name="_Toc14577355"/>
      <w:r/>
      <w:bookmarkStart w:id="61" w:name="_Toc513029217"/>
      <w:r/>
      <w:bookmarkStart w:id="62" w:name="_Toc61149557"/>
      <w:r>
        <w:rPr>
          <w:rFonts w:hint="eastAsia" w:ascii="宋体" w:hAnsi="宋体" w:eastAsia="宋体" w:cs="宋体"/>
          <w:color w:val="auto"/>
          <w:sz w:val="24"/>
          <w:szCs w:val="32"/>
          <w:highlight w:val="none"/>
        </w:rPr>
        <w:t xml:space="preserve">1.3响应文件构成</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加★项目若有缺失或无效，将导致该响应文件作无效响应文件评定，且不允许在磋商截止时间后补正。</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1.3.1 资格证明文件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（1）★具有独立承担民事责任能力的企事业法人营业执照；</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（2）★磋商供应商法定代表人资格证明书</w:t>
      </w:r>
      <w:bookmarkStart w:id="63" w:name="OLE_LINK56"/>
      <w:r/>
      <w:bookmarkStart w:id="64" w:name="OLE_LINK57"/>
      <w:r>
        <w:rPr>
          <w:rFonts w:hint="eastAsia" w:ascii="宋体" w:hAnsi="宋体" w:eastAsia="宋体" w:cs="宋体"/>
          <w:b/>
          <w:color w:val="auto"/>
          <w:sz w:val="24"/>
          <w:szCs w:val="32"/>
          <w:highlight w:val="none"/>
        </w:rPr>
        <w:t xml:space="preserve">（格式见附件）</w:t>
      </w:r>
      <w:bookmarkEnd w:id="63"/>
      <w:r/>
      <w:bookmarkEnd w:id="64"/>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（3）★磋商供应商法定代表人授权委托书</w:t>
      </w:r>
      <w:r>
        <w:rPr>
          <w:rFonts w:hint="eastAsia" w:ascii="宋体" w:hAnsi="宋体" w:eastAsia="宋体" w:cs="宋体"/>
          <w:b/>
          <w:color w:val="auto"/>
          <w:sz w:val="24"/>
          <w:szCs w:val="32"/>
          <w:highlight w:val="none"/>
        </w:rPr>
        <w:t xml:space="preserve">（格式见附件，法定代表人亲自参加磋商的除外。）</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（4）★按照本文件第一章第二条之</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中“本项目的特定资格要求”应当提供的证书或材料等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如有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（7）★供应商近六个月中任意一个月份（不含磋商当月）的依法缴纳社会保障资金的相关材料（提供相关主管部门证明或银行代扣证明）；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（8）★参加政府采购活动前 3 年内在经营活动中没有重大违法记录的书面声明</w:t>
      </w:r>
      <w:r>
        <w:rPr>
          <w:rFonts w:hint="eastAsia" w:ascii="宋体" w:hAnsi="宋体" w:eastAsia="宋体" w:cs="宋体"/>
          <w:b/>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（9）★具备履行合同所必需的设备和专业技术能力的书面声明</w:t>
      </w:r>
      <w:r>
        <w:rPr>
          <w:rFonts w:hint="eastAsia" w:ascii="宋体" w:hAnsi="宋体" w:eastAsia="宋体" w:cs="宋体"/>
          <w:b/>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（10）★磋商供应商应提供《中小企业声明函》或《残疾人福利性单位声明函》或省级以上监狱管理局、戒毒管理局（含新疆生产建设兵团）出具的属于监狱企业的证明文件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如有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如上述资格证明文件第（5）（6）（7）三项遇有国家相关政策规定可不具备的，必须提供相关政策规定或相关单位出具的有效证明。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1.3.2商务技术文件（按照本文件第六章统一提供的规范表式填写）</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（1）★磋商响应函；</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（2）★磋商报价表（参考格式，以苏采云系统格式为准）；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（3）★服务及商务响应偏离表；</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（4）拟投入项目组人员表；</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（5）根据项目需求和评审方法以及评审标准，供应商为使自身处于有利评审地位，应当提交的其他文件和证明资料；</w:t>
      </w:r>
      <w:bookmarkEnd w:id="57"/>
      <w:r/>
      <w:bookmarkEnd w:id="58"/>
      <w:r/>
      <w:bookmarkEnd w:id="59"/>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1.3.3如标书制作工具中的格式和内容与“江苏政府采购网”发布的磋商文件不一致，请以“江苏政府采购网”发布的磋商文件为准。</w:t>
      </w:r>
      <w:r/>
    </w:p>
    <w:p>
      <w:pPr>
        <w:ind w:firstLine="420"/>
        <w:spacing w:line="360" w:lineRule="auto"/>
        <w:rPr>
          <w:rFonts w:hint="eastAsia" w:ascii="宋体" w:hAnsi="宋体" w:eastAsia="宋体" w:cs="宋体"/>
          <w:color w:val="auto"/>
          <w:sz w:val="24"/>
          <w:szCs w:val="32"/>
          <w:highlight w:val="none"/>
        </w:rPr>
      </w:pPr>
      <w:r/>
      <w:bookmarkStart w:id="65" w:name="_Hlt26668999"/>
      <w:r/>
      <w:bookmarkEnd w:id="65"/>
      <w:r>
        <w:rPr>
          <w:rFonts w:hint="eastAsia" w:ascii="宋体" w:hAnsi="宋体" w:eastAsia="宋体" w:cs="宋体"/>
          <w:color w:val="auto"/>
          <w:sz w:val="24"/>
          <w:szCs w:val="32"/>
          <w:highlight w:val="none"/>
        </w:rPr>
        <w:t xml:space="preserve">2.磋商响应报价</w:t>
      </w:r>
      <w:bookmarkEnd w:id="60"/>
      <w:r/>
      <w:bookmarkEnd w:id="61"/>
      <w:r/>
      <w:bookmarkStart w:id="66" w:name="_Hlt26670373"/>
      <w:r/>
      <w:bookmarkEnd w:id="66"/>
      <w:r>
        <w:rPr>
          <w:rFonts w:hint="eastAsia" w:ascii="宋体" w:hAnsi="宋体" w:eastAsia="宋体" w:cs="宋体"/>
          <w:color w:val="auto"/>
          <w:sz w:val="24"/>
          <w:szCs w:val="32"/>
          <w:highlight w:val="none"/>
        </w:rPr>
        <w:t xml:space="preserve">表</w:t>
      </w:r>
      <w:bookmarkEnd w:id="62"/>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2.1磋商供应商应按照磋商文件规定格式填报磋商响应报价表。每项产品或服务只允许有一个报价，任何有选择的报价将不予接受，磋商文件中另有规定的按规定执行。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2.2标的物</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详见项目需求。</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2.3有关费用的处理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本次采购磋商供应商的总报价应包括为完成本项目发生的所有费用，本磋商文件中另有规定的除外。</w:t>
      </w:r>
      <w:r>
        <w:rPr>
          <w:rFonts w:hint="eastAsia" w:ascii="宋体" w:hAnsi="宋体" w:eastAsia="宋体" w:cs="宋体"/>
          <w:color w:val="auto"/>
          <w:sz w:val="24"/>
          <w:szCs w:val="32"/>
          <w:highlight w:val="none"/>
        </w:rPr>
        <w:t xml:space="preserve">本项目</w:t>
      </w:r>
      <w:r>
        <w:rPr>
          <w:rFonts w:hint="eastAsia" w:ascii="宋体" w:hAnsi="宋体" w:eastAsia="宋体" w:cs="宋体"/>
          <w:color w:val="auto"/>
          <w:sz w:val="24"/>
          <w:szCs w:val="32"/>
          <w:highlight w:val="none"/>
        </w:rPr>
        <w:t xml:space="preserve">代理费</w:t>
      </w:r>
      <w:r>
        <w:rPr>
          <w:rFonts w:hint="eastAsia" w:ascii="宋体" w:hAnsi="宋体" w:eastAsia="宋体" w:cs="宋体"/>
          <w:color w:val="auto"/>
          <w:sz w:val="24"/>
          <w:szCs w:val="32"/>
          <w:highlight w:val="none"/>
        </w:rPr>
        <w:t xml:space="preserve">由</w:t>
      </w:r>
      <w:r>
        <w:rPr>
          <w:rFonts w:hint="eastAsia" w:ascii="宋体" w:hAnsi="宋体" w:eastAsia="宋体" w:cs="宋体"/>
          <w:color w:val="auto"/>
          <w:sz w:val="24"/>
          <w:szCs w:val="32"/>
          <w:highlight w:val="none"/>
        </w:rPr>
        <w:t xml:space="preserve">成交</w:t>
      </w:r>
      <w:r>
        <w:rPr>
          <w:rFonts w:hint="eastAsia" w:ascii="宋体" w:hAnsi="宋体" w:eastAsia="宋体" w:cs="宋体"/>
          <w:color w:val="auto"/>
          <w:sz w:val="24"/>
          <w:szCs w:val="32"/>
          <w:highlight w:val="none"/>
        </w:rPr>
        <w:t xml:space="preserve">供应商</w:t>
      </w:r>
      <w:r>
        <w:rPr>
          <w:rFonts w:hint="eastAsia" w:ascii="宋体" w:hAnsi="宋体" w:eastAsia="宋体" w:cs="宋体"/>
          <w:color w:val="auto"/>
          <w:sz w:val="24"/>
          <w:szCs w:val="32"/>
          <w:highlight w:val="none"/>
        </w:rPr>
        <w:t xml:space="preserve">根据</w:t>
      </w:r>
      <w:r>
        <w:rPr>
          <w:rFonts w:hint="eastAsia" w:ascii="宋体" w:hAnsi="宋体" w:eastAsia="宋体" w:cs="宋体"/>
          <w:color w:val="auto"/>
          <w:sz w:val="24"/>
          <w:szCs w:val="32"/>
          <w:highlight w:val="none"/>
        </w:rPr>
        <w:t xml:space="preserve">相关</w:t>
      </w:r>
      <w:r>
        <w:rPr>
          <w:rFonts w:hint="eastAsia" w:ascii="宋体" w:hAnsi="宋体" w:eastAsia="宋体" w:cs="宋体"/>
          <w:color w:val="auto"/>
          <w:sz w:val="24"/>
          <w:szCs w:val="32"/>
          <w:highlight w:val="none"/>
        </w:rPr>
        <w:t xml:space="preserve">收费</w:t>
      </w:r>
      <w:r>
        <w:rPr>
          <w:rFonts w:hint="eastAsia" w:ascii="宋体" w:hAnsi="宋体" w:eastAsia="宋体" w:cs="宋体"/>
          <w:color w:val="auto"/>
          <w:sz w:val="24"/>
          <w:szCs w:val="32"/>
          <w:highlight w:val="none"/>
        </w:rPr>
        <w:t xml:space="preserve">标准</w:t>
      </w:r>
      <w:r>
        <w:rPr>
          <w:rFonts w:hint="eastAsia" w:ascii="宋体" w:hAnsi="宋体" w:eastAsia="宋体" w:cs="宋体"/>
          <w:color w:val="auto"/>
          <w:sz w:val="24"/>
          <w:szCs w:val="32"/>
          <w:highlight w:val="none"/>
        </w:rPr>
        <w:t xml:space="preserve">支付。</w:t>
      </w: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磋商文件未列明，而磋商供应商认为必需的费用也须列入报价。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2.4 报价采用的货币及方式</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响应文件中的单价和总价，无特殊规定的采用人民币报价，以元为单位标注。磋商文件中另有规定的按规定执行。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2.5 磋商响应报价表上的价格应按磋商文件规定填写。</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2.6最高限价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磋商供应商报价超过最高限价的，作为无效标处理。</w:t>
      </w:r>
      <w:r/>
    </w:p>
    <w:p>
      <w:pPr>
        <w:ind w:firstLine="420"/>
        <w:spacing w:line="360" w:lineRule="auto"/>
        <w:rPr>
          <w:rFonts w:hint="eastAsia" w:ascii="宋体" w:hAnsi="宋体" w:eastAsia="宋体" w:cs="宋体"/>
          <w:color w:val="auto"/>
          <w:sz w:val="24"/>
          <w:szCs w:val="32"/>
          <w:highlight w:val="none"/>
        </w:rPr>
      </w:pPr>
      <w:r/>
      <w:bookmarkStart w:id="67" w:name="_Hlt26954846"/>
      <w:r/>
      <w:bookmarkEnd w:id="67"/>
      <w:r/>
      <w:bookmarkStart w:id="68" w:name="_Hlt26954850"/>
      <w:r/>
      <w:bookmarkEnd w:id="68"/>
      <w:r/>
      <w:bookmarkStart w:id="69" w:name="_Hlt26954749"/>
      <w:r/>
      <w:bookmarkEnd w:id="69"/>
      <w:r/>
      <w:bookmarkStart w:id="70" w:name="_Hlt26954844"/>
      <w:r/>
      <w:bookmarkEnd w:id="70"/>
      <w:r/>
      <w:bookmarkStart w:id="71" w:name="_Hlt26668983"/>
      <w:r/>
      <w:bookmarkEnd w:id="71"/>
      <w:r/>
      <w:bookmarkStart w:id="72" w:name="_Hlt26670403"/>
      <w:r/>
      <w:bookmarkEnd w:id="72"/>
      <w:r/>
      <w:bookmarkStart w:id="73" w:name="_Hlt26670493"/>
      <w:r/>
      <w:bookmarkEnd w:id="73"/>
      <w:r/>
      <w:bookmarkStart w:id="74" w:name="_Hlt26670486"/>
      <w:r/>
      <w:bookmarkEnd w:id="74"/>
      <w:r/>
      <w:bookmarkStart w:id="75" w:name="_Hlt26954734"/>
      <w:r/>
      <w:bookmarkEnd w:id="75"/>
      <w:r/>
      <w:bookmarkStart w:id="76" w:name="_Hlt26954739"/>
      <w:r/>
      <w:bookmarkEnd w:id="76"/>
      <w:r/>
      <w:bookmarkStart w:id="77" w:name="_Hlt26954852"/>
      <w:r/>
      <w:bookmarkEnd w:id="77"/>
      <w:r/>
      <w:bookmarkStart w:id="78" w:name="_Hlt26670425"/>
      <w:r/>
      <w:bookmarkEnd w:id="78"/>
      <w:r/>
      <w:bookmarkStart w:id="79" w:name="_Hlt26670482"/>
      <w:r/>
      <w:bookmarkEnd w:id="79"/>
      <w:r/>
      <w:bookmarkStart w:id="80" w:name="_Hlt26954731"/>
      <w:r/>
      <w:bookmarkEnd w:id="80"/>
      <w:r/>
      <w:bookmarkStart w:id="81" w:name="_Hlt26670489"/>
      <w:r/>
      <w:bookmarkEnd w:id="81"/>
      <w:r/>
      <w:bookmarkStart w:id="82" w:name="_Hlt26954848"/>
      <w:r/>
      <w:bookmarkEnd w:id="82"/>
      <w:r/>
      <w:bookmarkStart w:id="83" w:name="_Hlt26954842"/>
      <w:r/>
      <w:bookmarkEnd w:id="83"/>
      <w:r/>
      <w:bookmarkStart w:id="84" w:name="_Hlt26954854"/>
      <w:r/>
      <w:bookmarkEnd w:id="84"/>
      <w:r/>
      <w:bookmarkStart w:id="85" w:name="_Toc61149562"/>
      <w:r/>
      <w:bookmarkStart w:id="86" w:name="_Toc513029224"/>
      <w:r/>
      <w:bookmarkStart w:id="87" w:name="_Toc14577362"/>
      <w:r>
        <w:rPr>
          <w:rFonts w:hint="eastAsia" w:ascii="宋体" w:hAnsi="宋体" w:eastAsia="宋体" w:cs="宋体"/>
          <w:color w:val="auto"/>
          <w:sz w:val="24"/>
          <w:szCs w:val="32"/>
          <w:highlight w:val="none"/>
        </w:rPr>
        <w:t xml:space="preserve">3.磋商保证金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依据《关于做好政府采购支持企业发展有关事项的通知》（苏财购〔2020〕52号）文件规定精神，本项目免收磋商保证金。磋商文件中有关磋商保证金的条款均取消。</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三、响应文件的递交</w:t>
      </w:r>
      <w:bookmarkEnd w:id="85"/>
      <w:r/>
      <w:bookmarkEnd w:id="86"/>
      <w:r/>
      <w:bookmarkEnd w:id="87"/>
      <w:r/>
      <w:r/>
    </w:p>
    <w:p>
      <w:pPr>
        <w:ind w:firstLine="420"/>
        <w:spacing w:line="360" w:lineRule="auto"/>
        <w:rPr>
          <w:rFonts w:hint="eastAsia" w:ascii="宋体" w:hAnsi="宋体" w:eastAsia="宋体" w:cs="宋体"/>
          <w:color w:val="auto"/>
          <w:sz w:val="24"/>
          <w:szCs w:val="32"/>
          <w:highlight w:val="none"/>
        </w:rPr>
      </w:pPr>
      <w:r/>
      <w:bookmarkStart w:id="88" w:name="_Hlt26954856"/>
      <w:r/>
      <w:bookmarkEnd w:id="88"/>
      <w:r/>
      <w:bookmarkStart w:id="89" w:name="_Toc462564084"/>
      <w:r/>
      <w:bookmarkStart w:id="90" w:name="_Toc14577363"/>
      <w:r/>
      <w:bookmarkStart w:id="91" w:name="_Toc513029225"/>
      <w:r/>
      <w:bookmarkStart w:id="92" w:name="_Toc61149563"/>
      <w:r>
        <w:rPr>
          <w:rFonts w:hint="eastAsia" w:ascii="宋体" w:hAnsi="宋体" w:eastAsia="宋体" w:cs="宋体"/>
          <w:color w:val="auto"/>
          <w:sz w:val="24"/>
          <w:szCs w:val="32"/>
          <w:highlight w:val="none"/>
        </w:rPr>
        <w:t xml:space="preserve">1.</w:t>
      </w:r>
      <w:bookmarkEnd w:id="89"/>
      <w:r/>
      <w:bookmarkEnd w:id="90"/>
      <w:r/>
      <w:bookmarkEnd w:id="91"/>
      <w:r/>
      <w:bookmarkEnd w:id="92"/>
      <w:r>
        <w:rPr>
          <w:rFonts w:hint="eastAsia" w:ascii="宋体" w:hAnsi="宋体" w:eastAsia="宋体" w:cs="宋体"/>
          <w:color w:val="auto"/>
          <w:sz w:val="24"/>
          <w:szCs w:val="32"/>
          <w:highlight w:val="none"/>
        </w:rPr>
        <w:t xml:space="preserve">电子磋商响应文件的递交</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1.1供应商应当按照《操作手册》规定，在提交响应文件截止时间前制作并上传电子响应文件。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2提交响应文件的截止时间</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2.1供应商上传电子响应文件的时间不得迟于磋商公告中规定的提交响应文件截止时间。</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供应商应充分考虑到网络环境、网络带宽等风险因素，如因供应商自身原因造成的电子响应文件上传不成功的按照本磋商文件第二章第5.3.2条规定作无效响应处理。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2.2采购人和采购代理机构可以按照规定，通过修改磋商文件酌情延长提交响应文件截止日期，在此情况下，供应商的所有权利和义务以及供应商受制的截止日期均应以延长后新的截止日期为准。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color w:val="auto"/>
          <w:sz w:val="24"/>
          <w:szCs w:val="32"/>
          <w:highlight w:val="none"/>
        </w:rPr>
      </w:pPr>
      <w:r/>
      <w:bookmarkStart w:id="93" w:name="_Hlt26954858"/>
      <w:r/>
      <w:bookmarkEnd w:id="93"/>
      <w:r/>
      <w:bookmarkStart w:id="94" w:name="_Hlt26670496"/>
      <w:r/>
      <w:bookmarkEnd w:id="94"/>
      <w:r/>
      <w:bookmarkStart w:id="95" w:name="_Hlt26954752"/>
      <w:r/>
      <w:bookmarkEnd w:id="95"/>
      <w:r/>
      <w:bookmarkStart w:id="96" w:name="_Toc14577364"/>
      <w:r/>
      <w:bookmarkStart w:id="97" w:name="_Toc61149564"/>
      <w:r/>
      <w:bookmarkStart w:id="98" w:name="_Toc513029226"/>
      <w:r>
        <w:rPr>
          <w:rFonts w:hint="eastAsia" w:ascii="宋体" w:hAnsi="宋体" w:eastAsia="宋体" w:cs="宋体"/>
          <w:color w:val="auto"/>
          <w:sz w:val="24"/>
          <w:szCs w:val="32"/>
          <w:highlight w:val="none"/>
        </w:rPr>
        <w:t xml:space="preserve">3.响应文件的拒收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3.1采购人拒绝接收在其规定的提交响应文件截止时间后上传的任何电子响应文件。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4.响应文件的撤回和修改</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4.1响应文件的撤回</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4.1.1电子响应文件的撤回</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供应商可在提交响应文件截止时间前，撤回其电子响应文件，具体操作方法见《操作手册》。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4.1.2供应商撤回电子响应文件，则视为其不再参与本项目磋商活动。</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4.2响应文件的修改</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供应商可在提交响应文件截止时间前，对其电子响应文件进行修改，具体操作方法见《操作手册》。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4.3在提交响应文件截止时间之后，供应商不得对其电子响应文件作任何修改。</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4.4在提交响应文件截止时间至磋商文件中规定的磋商有效期满之间的这段时间内，供应商不得撤回其响应文件。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四、响应文件的解密与评审</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1.响应文件解密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1.1供应商应当按照《操作手册》规定，在苏采云系统规定的时间内对磋商响应文件进行解密。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2.磋商小组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2.1采购代理机构将组织磋商小组对响应文件进行评审。</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2.2磋商小组独立工作，负责评审所有响应文件并确定成交候选人。</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3.评审过程的保密与公正</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3.2在评审过程中，供应商不得以任何行为影响磋商评审过程，否则其响应文件将被作为无效响应文件。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3.3在项目评审期间，采购代理机构将设专门人员与供应商联系。</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3.4采购人、代理机构和磋商小组不向未成交的供应商解释未成交原因，也不公布评审过程中的相关细节。</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4.评审过程中的澄清</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磋商小组并非对每个供应商都作澄清要求。</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4.3接到磋商小组澄清、说明和更正要求的供应商如未按规定作出澄清、说明和更正，其风险由供应商自行承担。</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5.对响应文件的审查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5.1响应文件审查分为资格审查和符合性审查。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5.1.1资格审查：由磋商小组依据法律法规和磋商文件的规定，对响应文件中的资格证明文件进行审查，以确定供应商是否具备参加磋商的资格。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磋商小组在进行资格审查的同时，将在“信用中国”网站（www.creditchina.gov.cn）查询供应商的信用记录，以确定供应商是否具备磋商资格。</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5.3未实质性响应磋商文件的情形</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5.3.1供应商在苏采云系统规定的时间内未成功解密电子响应文件的；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5.3.2供应商未按照磋商文件要求上传电子响应文件的；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5.3.3同一供应商提交两个（含两个）以上不同的响应文件或者最后报价的；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5.3.4供应商不具备磋商文件中规定的资格要求的；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5.3.5供应商的最后报价超过了采购预算或最高限价的；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5.3.6不符合磋商文件中规定的实质性要求和条件的；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5.3.7供应商被“信用中国”网站（www.creditchina.gov.cn）列入失信被执行人、重大税收违法失信主体名单、政府采购严重违法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5.3.8响应文件中含有采购人不能接受的附加条件的；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5.3.10响应文件未按照磋商文件要求加盖CA电子公章的；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5.3.11标注“★”号</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如有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，不能满足采购文件要求的；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5.4未实质性响应磋商文件的响应文件按无效响应处理。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5.5如果响应文件实质上没有响应磋商文件的要求，磋商小组将予以拒绝，供应商不得通过修改或撤销不符合要求的偏离或保留而使其成为实质性响应的文件。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5.6供应商在项目评审全过程中应保持通讯畅通，并安排专人与采购代理机构及磋商小组联系。</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6.磋商程序及评审方法和评审标准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6.1磋商程序</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6.1.1对于通过资格审查和符合性审查的供应商，磋商小组将集中与单一供应商分别进行磋商。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6.1.2磋商文件能够详细列明采购标的的技术、服务要求的，磋商结束后，磋商小组将在苏采云系统要求所有实质性响应的供应商在规定时间内提交最后报价。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6.2评审方法和评审标准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6.2.2评审标准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详见本磋商文件第五章规定。</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6.3采购活动终止的情况</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出现下列情形之一的，本次竞争性磋商采购活动将被终止：</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6.3.1因情况变化，不再符合规定的竞争性磋商采购方式适用情形的。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6.3.2出现影响采购公正性的违法、违规行为的。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6.3.3除本磋商文件第二章第6.1.2条第三款规定的情形外，在采购过程中符合要求的供应商或者最后报价未超过采购预算的供应商不足3家的。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6.3.4在苏采云系统规定时间内成功解密电子响应文件的供应商不足3家的。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五、成交</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1.确定成交单位</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1.3若有充分证据证明，成交供应商出现下列情况之一的，一经查实，将被取消成交资格：</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1.3.1提供虚假材料牟取成交的。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1.3.2与评审专家、采购人、其他供应商或者采购代理机构工作人员恶意串通的。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1.3.3向评审专家、采购人或采购代理机构工作人员行贿或者提供其他不正当利益的。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1.3.5不满足本磋商文件规定的实质性要求，但在评审过程中又未被磋商小组发现的。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1.3.6成交后无正当理由拒不与采购人签订政府采购合同或者未按照磋商文件确定的事项签订政府采购合同的。</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2.质疑处理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2.2.1对可以质疑的采购文件提出质疑的，为收到采购文件之日或者采购文件公告期限届满之日。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2.2.2对采购过程提出质疑的，为各采购程序环节结束之日。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2.2.3对成交结果提出质疑的，为成交结果公告期限届满之日。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2.3质疑函必须按照本磋商文件中《质疑函范本》要求的格式和内容进行填写。</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采购人及采购代理机构只接收以纸质原件形式送达的质疑。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采购人质疑接收人及联系方式见本磋商文件第一章。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2.5以下情形的质疑不予受理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2.5.1内容不符合《政府采购质疑和投诉办法》第十二条规定的质疑。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2.5.2超出政府采购法定期限的质疑。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2.5.3以传真、电子邮件等方式递交的非原件形式的质疑。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2.5.4未参加磋商活动的供应商或在磋商活动中自身权益未受到损害的供应商所提出的质疑。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2.5.5供应商组成联合体参加磋商，联合体中任何一方或多方未按要求签字、盖章、加盖公章的质疑。</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3.成交通知书</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96"/>
      <w:r/>
      <w:bookmarkEnd w:id="97"/>
      <w:r/>
      <w:bookmarkEnd w:id="98"/>
      <w:r/>
      <w:r/>
    </w:p>
    <w:p>
      <w:pPr>
        <w:ind w:firstLine="420"/>
        <w:spacing w:line="360" w:lineRule="auto"/>
        <w:rPr>
          <w:rFonts w:hint="eastAsia" w:ascii="宋体" w:hAnsi="宋体" w:eastAsia="宋体" w:cs="宋体"/>
          <w:color w:val="auto"/>
          <w:sz w:val="24"/>
          <w:szCs w:val="32"/>
          <w:highlight w:val="none"/>
        </w:rPr>
      </w:pPr>
      <w:r/>
      <w:bookmarkStart w:id="99" w:name="_Toc16938553"/>
      <w:r/>
      <w:bookmarkStart w:id="100" w:name="_Toc513029237"/>
      <w:r/>
      <w:bookmarkStart w:id="101" w:name="_Toc20823309"/>
      <w:r>
        <w:rPr>
          <w:rFonts w:hint="eastAsia" w:ascii="宋体" w:hAnsi="宋体" w:eastAsia="宋体" w:cs="宋体"/>
          <w:color w:val="auto"/>
          <w:sz w:val="24"/>
          <w:szCs w:val="32"/>
          <w:highlight w:val="none"/>
        </w:rPr>
        <w:t xml:space="preserve">六、签订、履行合同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1.履约保证金：</w:t>
      </w:r>
      <w:bookmarkStart w:id="102" w:name="OLE_LINK68"/>
      <w:r/>
      <w:bookmarkStart w:id="103" w:name="OLE_LINK69"/>
      <w:r/>
      <w:bookmarkStart w:id="104" w:name="OLE_LINK67"/>
      <w:r>
        <w:rPr>
          <w:rFonts w:hint="eastAsia" w:ascii="宋体" w:hAnsi="宋体" w:eastAsia="宋体" w:cs="宋体"/>
          <w:color w:val="auto"/>
          <w:sz w:val="24"/>
          <w:szCs w:val="32"/>
          <w:highlight w:val="none"/>
        </w:rPr>
        <w:t xml:space="preserve">成交单位在合同签订前向采购人缴纳（成交价的10%）履约保证金，项目完成并经采购人确认无误后无息退还。</w:t>
      </w:r>
      <w:bookmarkEnd w:id="102"/>
      <w:r/>
      <w:bookmarkEnd w:id="103"/>
      <w:r/>
      <w:bookmarkEnd w:id="104"/>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履约保证金提交形式：银行转账、支票、汇票、本票、金融机构出具的保函或者保证保险等非现金形式。</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2.签订合同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2.l成交供应商应当在成交通知书发出之日起30日内，按照磋商文件确定的事项与采购人签订政府采购合同。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2.2磋商文件、成交供应商的响应文件及磋商过程中有关澄清、承诺文件均应作为合同附件。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3.标的物的追加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七、其他事项说明：（落实的相关政策）</w:t>
      </w:r>
      <w:bookmarkEnd w:id="99"/>
      <w:r/>
      <w:bookmarkEnd w:id="100"/>
      <w:r/>
      <w:bookmarkEnd w:id="101"/>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（1）《政府采购促进中小企业发展管理办法》--财库〔2020〕46号。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（3）国务院办公厅关于建立政府强制采购节能产品制度的通知－-国办发〔2007〕51号 </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（4）节能产品政府采购实施意见－－财库〔2004〕185号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（5）环境标志产品政府采购实施的意见－－财库〔2006〕90号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20"/>
        <w:spacing w:line="360" w:lineRule="auto"/>
        <w:rPr>
          <w:rFonts w:hint="eastAsia" w:ascii="宋体" w:hAnsi="宋体" w:eastAsia="宋体" w:cs="宋体"/>
          <w:color w:val="auto"/>
          <w:sz w:val="24"/>
          <w:szCs w:val="32"/>
          <w:highlight w:val="none"/>
        </w:rPr>
      </w:pPr>
      <w:r/>
      <w:bookmarkStart w:id="105" w:name="OLE_LINK64"/>
      <w:r/>
      <w:bookmarkStart w:id="106" w:name="OLE_LINK65"/>
      <w:r>
        <w:rPr>
          <w:rFonts w:hint="eastAsia" w:ascii="宋体" w:hAnsi="宋体" w:eastAsia="宋体" w:cs="宋体"/>
          <w:color w:val="auto"/>
          <w:sz w:val="24"/>
          <w:szCs w:val="32"/>
          <w:highlight w:val="none"/>
        </w:rPr>
        <w:t xml:space="preserve">（6）</w:t>
      </w:r>
      <w:bookmarkEnd w:id="105"/>
      <w:r/>
      <w:bookmarkEnd w:id="106"/>
      <w:r>
        <w:rPr>
          <w:rFonts w:hint="eastAsia" w:ascii="宋体" w:hAnsi="宋体" w:eastAsia="宋体" w:cs="宋体"/>
          <w:color w:val="auto"/>
          <w:sz w:val="24"/>
          <w:szCs w:val="32"/>
          <w:highlight w:val="none"/>
        </w:rPr>
        <w:t xml:space="preserve">《关于促进残疾人就业政府采购政策的通知》财库〔2017〕141号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（7）《电子履约保函（保险）关于在全省政府采购领域推行电子履约保函（保险）的通知（苏财购〔2023〕150 号）》</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（8）参照《关于印发中小企业划型标准规定的通知》（工信部联合企业﹝2011﹞300号）文件，本项目采购标的所属行业为</w:t>
      </w:r>
      <w:r>
        <w:rPr>
          <w:rFonts w:hint="eastAsia" w:ascii="宋体" w:hAnsi="宋体" w:eastAsia="宋体" w:cs="宋体"/>
          <w:b/>
          <w:bCs/>
          <w:color w:val="auto"/>
          <w:sz w:val="24"/>
          <w:szCs w:val="32"/>
          <w:highlight w:val="none"/>
          <w:u w:val="single"/>
          <w:lang w:eastAsia="zh-CN"/>
        </w:rPr>
        <w:t xml:space="preserve">软件和信息技术服务业</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八、关于异常低价的审查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1、评审过程中出现下列情形之一的，评审委员会将启动异常低价投标（响应）审查程序：</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3．投标（响应）报价低于采购项目最高限价45％的，即投标（响应）报价＜采购项目最高限价×45％；</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w:t>
      </w:r>
      <w:r>
        <w:rPr>
          <w:rFonts w:hint="eastAsia" w:ascii="宋体" w:hAnsi="宋体" w:eastAsia="宋体" w:cs="宋体"/>
          <w:color w:val="auto"/>
          <w:sz w:val="24"/>
          <w:szCs w:val="32"/>
          <w:highlight w:val="none"/>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jc w:val="center"/>
        <w:spacing w:line="360" w:lineRule="auto"/>
        <w:rPr>
          <w:rFonts w:hint="eastAsia" w:ascii="宋体" w:hAnsi="宋体" w:eastAsia="宋体" w:cs="宋体"/>
          <w:b/>
          <w:bCs/>
          <w:color w:val="auto"/>
          <w:sz w:val="24"/>
          <w:szCs w:val="32"/>
          <w:highlight w:val="none"/>
        </w:rPr>
        <w:outlineLvl w:val="0"/>
      </w:pPr>
      <w:r>
        <w:rPr>
          <w:rFonts w:hint="eastAsia" w:ascii="宋体" w:hAnsi="宋体" w:eastAsia="宋体" w:cs="宋体"/>
          <w:b/>
          <w:bCs/>
          <w:color w:val="auto"/>
          <w:sz w:val="24"/>
          <w:szCs w:val="32"/>
          <w:highlight w:val="none"/>
        </w:rPr>
        <w:br w:type="page" w:clear="all"/>
      </w:r>
      <w:r>
        <w:rPr>
          <w:rFonts w:hint="eastAsia" w:ascii="宋体" w:hAnsi="宋体" w:eastAsia="宋体" w:cs="宋体"/>
          <w:b/>
          <w:bCs/>
          <w:color w:val="auto"/>
          <w:sz w:val="40"/>
          <w:szCs w:val="40"/>
          <w:highlight w:val="none"/>
        </w:rPr>
        <w:t xml:space="preserve">第三章  合同条款及格式（参考）</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single"/>
          <w:lang w:val="en-US" w:eastAsia="zh-CN"/>
        </w:rPr>
      </w:pPr>
      <w:r/>
      <w:bookmarkStart w:id="107" w:name="_Toc22763"/>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val="en-US" w:eastAsia="zh-CN"/>
        </w:rPr>
        <w:t xml:space="preserve">泰州第四人民医院无纸化系统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泰州市第四人民医院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b w:val="0"/>
          <w:bCs w:val="0"/>
          <w:i w:val="0"/>
          <w:iCs w:val="0"/>
          <w:color w:val="auto"/>
          <w:sz w:val="22"/>
          <w:szCs w:val="22"/>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根据《中华人民共和国政府采购法》《中华人民共和国民法典》等法律法规的规定，</w:t>
      </w:r>
      <w:r>
        <w:rPr>
          <w:rFonts w:hint="eastAsia" w:ascii="宋体" w:hAnsi="宋体" w:eastAsia="宋体" w:cs="宋体"/>
          <w:color w:val="auto"/>
          <w:sz w:val="24"/>
          <w:szCs w:val="24"/>
          <w:highlight w:val="none"/>
          <w:lang w:val="en-US" w:eastAsia="zh-CN"/>
        </w:rPr>
        <w:t xml:space="preserve">甲乙</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lang w:val="en-US" w:eastAsia="zh-CN"/>
        </w:rPr>
        <w:t xml:space="preserve">就</w:t>
      </w:r>
      <w:r>
        <w:rPr>
          <w:rFonts w:hint="eastAsia" w:ascii="宋体" w:hAnsi="宋体" w:eastAsia="宋体" w:cs="宋体"/>
          <w:color w:val="auto"/>
          <w:sz w:val="24"/>
          <w:szCs w:val="24"/>
          <w:highlight w:val="none"/>
          <w:u w:val="none"/>
          <w:lang w:val="en-US" w:eastAsia="zh-CN"/>
        </w:rPr>
        <w:t xml:space="preserve">无纸化系统采购项目</w:t>
      </w:r>
      <w:r>
        <w:rPr>
          <w:rFonts w:hint="eastAsia" w:ascii="宋体" w:hAnsi="宋体" w:eastAsia="宋体" w:cs="宋体"/>
          <w:color w:val="auto"/>
          <w:sz w:val="24"/>
          <w:szCs w:val="24"/>
          <w:highlight w:val="none"/>
          <w:u w:val="single"/>
          <w:lang w:val="en-US" w:eastAsia="zh-CN"/>
        </w:rPr>
        <w:t xml:space="preserve">竞争性磋商</w:t>
      </w:r>
      <w:r>
        <w:rPr>
          <w:rFonts w:hint="eastAsia" w:ascii="宋体" w:hAnsi="宋体" w:eastAsia="宋体" w:cs="宋体"/>
          <w:color w:val="auto"/>
          <w:sz w:val="24"/>
          <w:szCs w:val="24"/>
          <w:highlight w:val="none"/>
          <w:lang w:val="en-US" w:eastAsia="zh-CN"/>
        </w:rPr>
        <w:t xml:space="preserve">结果</w:t>
      </w:r>
      <w:r>
        <w:rPr>
          <w:rFonts w:hint="eastAsia" w:ascii="宋体" w:hAnsi="宋体" w:eastAsia="宋体" w:cs="宋体"/>
          <w:color w:val="auto"/>
          <w:sz w:val="24"/>
          <w:szCs w:val="24"/>
          <w:highlight w:val="none"/>
        </w:rPr>
        <w:t xml:space="preserve">签订本合同。</w:t>
      </w:r>
      <w:r/>
    </w:p>
    <w:p>
      <w:pPr>
        <w:numPr>
          <w:ilvl w:val="0"/>
          <w:numId w:val="1"/>
        </w:numPr>
        <w:ind w:left="0" w:firstLine="420"/>
        <w:keepLines w:val="0"/>
        <w:keepNext w:val="0"/>
        <w:pageBreakBefore w:val="0"/>
        <w:spacing w:line="384"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组成本合同的有关文件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下列关于项目名称为</w:t>
      </w:r>
      <w:r>
        <w:rPr>
          <w:rFonts w:hint="eastAsia" w:ascii="宋体" w:hAnsi="宋体" w:cs="宋体"/>
          <w:color w:val="auto"/>
          <w:sz w:val="24"/>
          <w:szCs w:val="24"/>
          <w:highlight w:val="none"/>
          <w:lang w:val="en-US" w:eastAsia="zh-CN"/>
        </w:rPr>
        <w:t xml:space="preserve">泰州第四人民医院无纸化系统</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.本项目的采购文件；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乙方提供的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文件和投标报价表；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技术规格响应表；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承诺/服务承诺；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甲乙双方商定的其他文件等。</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乙方根据甲方需求提供下列标的</w:t>
      </w:r>
      <w:r/>
    </w:p>
    <w:tbl>
      <w:tblPr>
        <w:tblStyle w:val="709"/>
        <w:tblpPr w:horzAnchor="page" w:tblpX="1534" w:vertAnchor="text" w:tblpY="247" w:leftFromText="180" w:topFromText="0" w:rightFromText="180" w:bottomFromText="0"/>
        <w:tblW w:w="84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23"/>
        <w:gridCol w:w="1410"/>
        <w:gridCol w:w="1380"/>
        <w:gridCol w:w="1950"/>
        <w:gridCol w:w="1950"/>
      </w:tblGrid>
      <w:tr>
        <w:trPr>
          <w:trHeight w:val="895"/>
        </w:trPr>
        <w:tc>
          <w:tcPr>
            <w:tcW w:w="1723" w:type="dxa"/>
            <w:vAlign w:val="center"/>
            <w:textDirection w:val="lrTb"/>
            <w:noWrap w:val="false"/>
          </w:tcPr>
          <w:p>
            <w:pPr>
              <w:pStyle w:val="932"/>
              <w:ind w:left="161" w:right="152"/>
              <w:jc w:val="center"/>
              <w:spacing w:before="2"/>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项目名称</w:t>
            </w:r>
            <w:r/>
          </w:p>
        </w:tc>
        <w:tc>
          <w:tcPr>
            <w:tcW w:w="1410" w:type="dxa"/>
            <w:vAlign w:val="center"/>
            <w:textDirection w:val="lrTb"/>
            <w:noWrap w:val="false"/>
          </w:tcPr>
          <w:p>
            <w:pPr>
              <w:pStyle w:val="932"/>
              <w:ind w:left="161" w:right="152"/>
              <w:jc w:val="center"/>
              <w:spacing w:before="2"/>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数量</w:t>
            </w:r>
            <w:r/>
          </w:p>
        </w:tc>
        <w:tc>
          <w:tcPr>
            <w:tcW w:w="1380" w:type="dxa"/>
            <w:vAlign w:val="center"/>
            <w:textDirection w:val="lrTb"/>
            <w:noWrap w:val="false"/>
          </w:tcPr>
          <w:p>
            <w:pPr>
              <w:pStyle w:val="932"/>
              <w:ind w:left="161" w:right="152"/>
              <w:jc w:val="center"/>
              <w:spacing w:before="2"/>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期限</w:t>
            </w:r>
            <w:r/>
          </w:p>
        </w:tc>
        <w:tc>
          <w:tcPr>
            <w:tcW w:w="1950" w:type="dxa"/>
            <w:vAlign w:val="center"/>
            <w:textDirection w:val="lrTb"/>
            <w:noWrap w:val="false"/>
          </w:tcPr>
          <w:p>
            <w:pPr>
              <w:pStyle w:val="932"/>
              <w:ind w:left="161" w:right="152"/>
              <w:jc w:val="center"/>
              <w:spacing w:before="2"/>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报价（元）</w:t>
            </w:r>
            <w:r/>
          </w:p>
        </w:tc>
        <w:tc>
          <w:tcPr>
            <w:tcW w:w="1950" w:type="dxa"/>
            <w:vAlign w:val="center"/>
            <w:textDirection w:val="lrTb"/>
            <w:noWrap w:val="false"/>
          </w:tcPr>
          <w:p>
            <w:pPr>
              <w:pStyle w:val="932"/>
              <w:ind w:left="161" w:right="152"/>
              <w:jc w:val="center"/>
              <w:spacing w:before="2"/>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质保</w:t>
            </w:r>
            <w:r/>
          </w:p>
        </w:tc>
      </w:tr>
      <w:tr>
        <w:trPr>
          <w:trHeight w:val="974"/>
        </w:trPr>
        <w:tc>
          <w:tcPr>
            <w:tcW w:w="1723" w:type="dxa"/>
            <w:vAlign w:val="center"/>
            <w:textDirection w:val="lrTb"/>
            <w:noWrap w:val="false"/>
          </w:tcPr>
          <w:p>
            <w:pPr>
              <w:pStyle w:val="932"/>
              <w:ind w:left="161" w:right="152"/>
              <w:jc w:val="center"/>
              <w:spacing w:before="2"/>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泰州第四人民医院无纸化系统</w:t>
            </w:r>
            <w:r/>
          </w:p>
        </w:tc>
        <w:tc>
          <w:tcPr>
            <w:tcW w:w="1410" w:type="dxa"/>
            <w:vAlign w:val="center"/>
            <w:textDirection w:val="lrTb"/>
            <w:noWrap w:val="false"/>
          </w:tcPr>
          <w:p>
            <w:pPr>
              <w:pStyle w:val="932"/>
              <w:ind w:left="161" w:right="152"/>
              <w:jc w:val="center"/>
              <w:spacing w:before="2"/>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1380" w:type="dxa"/>
            <w:vAlign w:val="center"/>
            <w:textDirection w:val="lrTb"/>
            <w:noWrap w:val="false"/>
          </w:tcPr>
          <w:p>
            <w:pPr>
              <w:pStyle w:val="932"/>
              <w:ind w:left="161" w:right="152"/>
              <w:jc w:val="center"/>
              <w:spacing w:before="2"/>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180天</w:t>
            </w:r>
            <w:r/>
          </w:p>
        </w:tc>
        <w:tc>
          <w:tcPr>
            <w:tcW w:w="1950" w:type="dxa"/>
            <w:vAlign w:val="center"/>
            <w:textDirection w:val="lrTb"/>
            <w:noWrap w:val="false"/>
          </w:tcPr>
          <w:p>
            <w:pPr>
              <w:pStyle w:val="932"/>
              <w:ind w:left="161" w:right="152"/>
              <w:jc w:val="center"/>
              <w:spacing w:before="2"/>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W w:w="1950" w:type="dxa"/>
            <w:vAlign w:val="center"/>
            <w:textDirection w:val="lrTb"/>
            <w:noWrap w:val="false"/>
          </w:tcPr>
          <w:p>
            <w:pPr>
              <w:pStyle w:val="932"/>
              <w:ind w:left="161" w:right="152"/>
              <w:jc w:val="center"/>
              <w:spacing w:before="2"/>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r>
    </w:tbl>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合同总价款：本合同项下服务总价款为</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元（大写）人民币。</w:t>
      </w:r>
      <w:r>
        <w:rPr>
          <w:rFonts w:hint="eastAsia" w:ascii="宋体" w:hAnsi="宋体" w:eastAsia="宋体" w:cs="宋体"/>
          <w:b w:val="0"/>
          <w:bCs w:val="0"/>
          <w:color w:val="auto"/>
          <w:sz w:val="24"/>
          <w:szCs w:val="24"/>
          <w:highlight w:val="none"/>
          <w:lang w:val="zh-CN" w:eastAsia="zh-CN" w:bidi="ar-SA"/>
        </w:rPr>
        <w:t xml:space="preserve">包括但不限于完成本项目工作所需</w:t>
      </w:r>
      <w:r>
        <w:rPr>
          <w:rFonts w:hint="eastAsia" w:ascii="宋体" w:hAnsi="宋体" w:eastAsia="宋体" w:cs="宋体"/>
          <w:b w:val="0"/>
          <w:bCs w:val="0"/>
          <w:color w:val="auto"/>
          <w:sz w:val="24"/>
          <w:szCs w:val="24"/>
          <w:highlight w:val="none"/>
          <w:lang w:val="en-US" w:eastAsia="zh-CN" w:bidi="ar-SA"/>
        </w:rPr>
        <w:t xml:space="preserve">及其配套的</w:t>
      </w:r>
      <w:r>
        <w:rPr>
          <w:rFonts w:hint="eastAsia" w:ascii="宋体" w:hAnsi="宋体" w:eastAsia="宋体" w:cs="宋体"/>
          <w:b w:val="0"/>
          <w:bCs w:val="0"/>
          <w:color w:val="auto"/>
          <w:sz w:val="24"/>
          <w:szCs w:val="24"/>
          <w:highlight w:val="none"/>
          <w:lang w:val="zh-CN" w:eastAsia="zh-CN" w:bidi="ar-SA"/>
        </w:rPr>
        <w:t xml:space="preserve">管理内容、设备、软件系统、辅助材料、验收检测、运输仓储、劳保、技术支持与培训、专利技术、各种税费、人工、保险、维护、利润、代理服务费、政策性文件规定及合同包含的所有风险、责任等各项应有费用。同时，除非合同条款中另有规定，否则，本合同项下合同总金额在合同履行期间不因市场变化因素而变动。</w:t>
      </w:r>
      <w:r/>
    </w:p>
    <w:p>
      <w:pPr>
        <w:numPr>
          <w:ilvl w:val="0"/>
          <w:numId w:val="1"/>
        </w:numPr>
        <w:ind w:lef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履行合同期限：</w:t>
      </w:r>
      <w:r>
        <w:rPr>
          <w:rFonts w:hint="eastAsia" w:ascii="宋体" w:hAnsi="宋体" w:eastAsia="宋体" w:cs="宋体"/>
          <w:color w:val="auto"/>
          <w:sz w:val="24"/>
          <w:highlight w:val="none"/>
        </w:rPr>
        <w:t xml:space="preserve">合同签订</w:t>
      </w:r>
      <w:r>
        <w:rPr>
          <w:rFonts w:hint="eastAsia" w:ascii="宋体" w:hAnsi="宋体" w:eastAsia="宋体" w:cs="宋体"/>
          <w:color w:val="auto"/>
          <w:sz w:val="24"/>
          <w:highlight w:val="none"/>
          <w:lang w:val="en-US" w:eastAsia="zh-CN"/>
        </w:rPr>
        <w:t xml:space="preserve">生效</w:t>
      </w:r>
      <w:r>
        <w:rPr>
          <w:rFonts w:hint="eastAsia" w:ascii="宋体" w:hAnsi="宋体" w:eastAsia="宋体" w:cs="宋体"/>
          <w:color w:val="auto"/>
          <w:sz w:val="24"/>
          <w:highlight w:val="none"/>
        </w:rPr>
        <w:t xml:space="preserve">之日起</w:t>
      </w:r>
      <w:r>
        <w:rPr>
          <w:rFonts w:hint="eastAsia" w:ascii="宋体" w:hAnsi="宋体" w:eastAsia="宋体" w:cs="宋体"/>
          <w:b w:val="0"/>
          <w:bCs w:val="0"/>
          <w:color w:val="auto"/>
          <w:sz w:val="24"/>
          <w:szCs w:val="24"/>
          <w:highlight w:val="none"/>
          <w:lang w:val="en-US" w:eastAsia="zh-CN" w:bidi="ar-SA"/>
        </w:rPr>
        <w:t xml:space="preserve">180天。</w:t>
      </w:r>
      <w:r/>
    </w:p>
    <w:p>
      <w:pPr>
        <w:numPr>
          <w:ilvl w:val="0"/>
          <w:numId w:val="1"/>
        </w:numPr>
        <w:ind w:lef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履行合同地点：泰州市海陵区鼓楼北路99号泰州市第四人民医院。</w:t>
      </w:r>
      <w:r/>
    </w:p>
    <w:p>
      <w:pPr>
        <w:numPr>
          <w:ilvl w:val="0"/>
          <w:numId w:val="1"/>
        </w:numPr>
        <w:ind w:lef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行合同方式：乙方接到甲方采购通知或采购计划后，按甲方的要求接受验收并安装。在接到甲方下发的紧急供货计划或紧急更换通知后，乙方需要在质保期内7×24小时技术服务，响应时间≤2小时。若电话中无法解决，4小时内到达现场。</w:t>
      </w:r>
      <w:r/>
    </w:p>
    <w:p>
      <w:pPr>
        <w:numPr>
          <w:ilvl w:val="0"/>
          <w:numId w:val="1"/>
        </w:numPr>
        <w:ind w:lef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特别约定</w:t>
      </w:r>
      <w:r/>
    </w:p>
    <w:p>
      <w:pPr>
        <w:numPr>
          <w:ilvl w:val="-1"/>
          <w:numId w:val="0"/>
        </w:numPr>
        <w:ind w:left="425" w:firstLine="24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乙方须遵守采购文件规定的服务等相关的要求，乙方所承诺的响应文件内容与合同具有同等法律效力。</w:t>
      </w:r>
      <w:r/>
    </w:p>
    <w:p>
      <w:pPr>
        <w:numPr>
          <w:ilvl w:val="0"/>
          <w:numId w:val="1"/>
        </w:numPr>
        <w:ind w:lef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权利保证</w:t>
      </w:r>
      <w:r/>
    </w:p>
    <w:p>
      <w:pPr>
        <w:numPr>
          <w:ilvl w:val="0"/>
          <w:numId w:val="0"/>
        </w:numPr>
        <w:ind w:left="425"/>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甲方权利与义务</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1.1 按项目管理要求组建           项目的领导小组和工作明确项目组织分工；</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 负责项目实施工作的计划与组织，并指定专人组织项目实施，甲方参与项目实施人员应该熟悉本院信息管理及相关基础管理工作；</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 项目实施过程中，甲方负责相关职能部门的沟通与协调，根据项目实施计划，督促检查各职能部门基础工作的完善和基础数据的准备；</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 负责项目实施的场地安排、硬件网络等设施准备、数据提供、数据录入、调试配全，按实施进度组织项目验收；</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1.5 甲方负责配合乙方的业务数据集成（接口）开发，提供技术支持与相关咨询；</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 接受乙方的技术指导和培训；</w:t>
      </w:r>
      <w:r/>
    </w:p>
    <w:p>
      <w:pPr>
        <w:numPr>
          <w:ilvl w:val="0"/>
          <w:numId w:val="0"/>
        </w:numPr>
        <w:ind w:left="425"/>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1.7 随时了解系统运行情况及系统后台运行记录。</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1.8 甲方使用乙方软件产品所产生的一切数据，所有权归属于甲方。乙方应无条件向甲方开发软件产品的数据库最高权限，并提供完整的数据结构文档说明。当数据结构发生变化时，乙方必须及时对数据结构文档进行更新并告知甲方。对于甲方使用乙方软件产品所产生的影像图片、音视频等一切多媒体数据，乙方须向甲方提供方便的获取途径与方法程序。</w:t>
      </w:r>
      <w:r/>
    </w:p>
    <w:p>
      <w:pPr>
        <w:numPr>
          <w:ilvl w:val="0"/>
          <w:numId w:val="0"/>
        </w:numPr>
        <w:ind w:left="425"/>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2、乙方权利与义务</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2.1 乙方提供合同约定的合格的软件产品并应符合国家有关法律、法规、制度、规范；所提供的产品应与乙方投标文件和合同中所规定的规格相一致；本合同所提供的产品、数量及技术标准：详见乙方按公开招标文件要求提供的投标文件，且不得低于甲方在招标文件中规定的品种数量及标准。</w:t>
      </w:r>
      <w:r/>
    </w:p>
    <w:p>
      <w:pPr>
        <w:numPr>
          <w:ilvl w:val="0"/>
          <w:numId w:val="0"/>
        </w:numPr>
        <w:ind w:left="425"/>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2.2 乙方成立专业项目组，指定专人负责项目各环节的实施和服务；</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2.3 乙方应按照双方确认的项目实施计划组织项目实施，并根据不同实施阶段，对项目实施计划进行细化、补充和修改；</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2.4 乙方应对甲方指定的系统管理员进行专门培训，内容包括系统维护、系统安全等；</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2.5 乙方所派人员应严格服从甲方项目组的管理及相关规章制度，乙方所派人员应按时完成甲方项目组所安排的任务；乙方所派人员保证不得泄露相关项目信息，项目经理及其项目团队不得出现无故旷工、缺席、迟到现象；</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2.6 乙方所派人员具有履行服务必要的资质、专业技术、资源、许可、准许和授权，并且在履行服务的整个过程中保持其有效；</w:t>
      </w:r>
      <w:r/>
    </w:p>
    <w:p>
      <w:pPr>
        <w:numPr>
          <w:ilvl w:val="0"/>
          <w:numId w:val="0"/>
        </w:numPr>
        <w:ind w:left="0"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2.7 乙方进入甲方施工现场的人员信息详见附件，项目人员的身份信息乙方应当提前5日向甲方书面报备。</w:t>
      </w:r>
      <w:r/>
    </w:p>
    <w:p>
      <w:pPr>
        <w:numPr>
          <w:ilvl w:val="0"/>
          <w:numId w:val="0"/>
        </w:numPr>
        <w:ind w:left="0"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val="0"/>
          <w:bCs w:val="0"/>
          <w:color w:val="auto"/>
          <w:sz w:val="24"/>
          <w:szCs w:val="24"/>
          <w:highlight w:val="none"/>
          <w:lang w:val="en-US" w:eastAsia="zh-CN" w:bidi="ar-SA"/>
        </w:rPr>
        <w:t xml:space="preserve">2.8 乙方应安全施工，并避免和防止乙方出现安全事故发生，乙方负责对乙方的施工人员进行人身意外险投保，若发生安全事故均由乙方负责处理和承担责任，包括但不限于经济赔偿和行政处理。该等责任与甲方无涉。</w:t>
      </w:r>
      <w:r/>
    </w:p>
    <w:p>
      <w:pPr>
        <w:numPr>
          <w:ilvl w:val="0"/>
          <w:numId w:val="1"/>
        </w:numPr>
        <w:ind w:left="0"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质量保证</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1.乙方各项服务承诺指标及所采取的措施按照采购文件要求及相应文件的承诺予以确定。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2.协议期内，乙方承担质量检验所产生的一切费用（包括但不限于交</w:t>
      </w:r>
      <w:r>
        <w:rPr>
          <w:rFonts w:hint="eastAsia" w:ascii="宋体" w:hAnsi="宋体" w:eastAsia="宋体" w:cs="宋体"/>
          <w:color w:val="auto"/>
          <w:sz w:val="24"/>
          <w:highlight w:val="none"/>
        </w:rPr>
        <w:t xml:space="preserve">通费、检验费等费用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如不符合采购文件和投标要求将被拒收，并按逾期交付处理，甲方有权终止合同，同时将乙方列入我院黑名单，3年内不得参加我院组织的任何项目招标。</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验收</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zh-CN" w:eastAsia="zh-CN" w:bidi="ar-SA"/>
        </w:rPr>
        <w:t xml:space="preserve">验收时间：系统安装调试完成，并投入试运行</w:t>
      </w:r>
      <w:r>
        <w:rPr>
          <w:rFonts w:hint="eastAsia" w:ascii="宋体" w:hAnsi="宋体" w:eastAsia="宋体" w:cs="宋体"/>
          <w:b w:val="0"/>
          <w:bCs w:val="0"/>
          <w:color w:val="auto"/>
          <w:sz w:val="24"/>
          <w:szCs w:val="24"/>
          <w:highlight w:val="none"/>
          <w:lang w:val="en-US" w:eastAsia="zh-CN" w:bidi="ar-SA"/>
        </w:rPr>
        <w:t xml:space="preserve">90</w:t>
      </w:r>
      <w:r>
        <w:rPr>
          <w:rFonts w:hint="eastAsia" w:ascii="宋体" w:hAnsi="宋体" w:eastAsia="宋体" w:cs="宋体"/>
          <w:b w:val="0"/>
          <w:bCs w:val="0"/>
          <w:color w:val="auto"/>
          <w:sz w:val="24"/>
          <w:szCs w:val="24"/>
          <w:highlight w:val="none"/>
          <w:lang w:val="zh-CN" w:eastAsia="zh-CN" w:bidi="ar-SA"/>
        </w:rPr>
        <w:t xml:space="preserve">天</w:t>
      </w:r>
      <w:r>
        <w:rPr>
          <w:rFonts w:hint="eastAsia" w:ascii="宋体" w:hAnsi="宋体" w:eastAsia="宋体" w:cs="宋体"/>
          <w:b w:val="0"/>
          <w:bCs w:val="0"/>
          <w:color w:val="auto"/>
          <w:sz w:val="24"/>
          <w:szCs w:val="24"/>
          <w:highlight w:val="none"/>
          <w:lang w:val="en-US" w:eastAsia="zh-CN" w:bidi="ar-SA"/>
        </w:rPr>
        <w:t xml:space="preserve">后</w:t>
      </w:r>
      <w:r>
        <w:rPr>
          <w:rFonts w:hint="eastAsia" w:ascii="宋体" w:hAnsi="宋体" w:eastAsia="宋体" w:cs="宋体"/>
          <w:b w:val="0"/>
          <w:bCs w:val="0"/>
          <w:color w:val="auto"/>
          <w:sz w:val="24"/>
          <w:szCs w:val="24"/>
          <w:highlight w:val="none"/>
          <w:lang w:val="zh-CN" w:eastAsia="zh-CN" w:bidi="ar-SA"/>
        </w:rPr>
        <w:t xml:space="preserve">。特殊情况需延长的，双方应书面特别约定。</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2、验收标准：</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1）乙方应向甲方提供符合合同约定的各项服务和交付物。如合同未约定质量标准的，应按照强制性国家标准履行；没有强制性国家标准的,按照推荐性国家标准履行；没有推荐性国家标准的，按照行业标准履行；没有国家标准、行业标准的，按照通常标准或者符合合同目的的特定标准履行；甲方及相关部门将根据采购文件、乙方的响应文件、双方签订的合同文件及其附件到场进行验收。</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（2）乙方应保证按采购文件、乙方的响应文件、乙方作出的承诺以及本合同的约定提供合格的标的物及服务，并保证所提供的标的物及服务等完全符合采购文件要求。</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因乙方提供的标的物及服务等不合格导致的质量问题或引起的知识产权纠纷等，</w:t>
      </w:r>
      <w:r>
        <w:rPr>
          <w:rFonts w:hint="eastAsia" w:ascii="宋体" w:hAnsi="宋体" w:eastAsia="宋体" w:cs="宋体"/>
          <w:b w:val="0"/>
          <w:bCs w:val="0"/>
          <w:color w:val="auto"/>
          <w:sz w:val="24"/>
          <w:szCs w:val="24"/>
          <w:highlight w:val="none"/>
          <w:lang w:val="en-US" w:eastAsia="zh-CN" w:bidi="ar-SA"/>
        </w:rPr>
        <w:t xml:space="preserve">甲</w:t>
      </w:r>
      <w:r>
        <w:rPr>
          <w:rFonts w:hint="eastAsia" w:ascii="宋体" w:hAnsi="宋体" w:eastAsia="宋体" w:cs="宋体"/>
          <w:b w:val="0"/>
          <w:bCs w:val="0"/>
          <w:color w:val="auto"/>
          <w:sz w:val="24"/>
          <w:szCs w:val="24"/>
          <w:highlight w:val="none"/>
          <w:lang w:val="zh-CN" w:eastAsia="zh-CN" w:bidi="ar-SA"/>
        </w:rPr>
        <w:t xml:space="preserve">方有权退货或责成乙方解决并整改到位，由此产生的一切费用由乙方自行承担。若给甲方造成损失的，还应按照本合同第八条约定承担相应的违约责任。</w:t>
      </w:r>
      <w:r/>
    </w:p>
    <w:p>
      <w:pPr>
        <w:numPr>
          <w:ilvl w:val="0"/>
          <w:numId w:val="2"/>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乙方应对软件质量负责，应保证提供有经验的工程师，并保证甲方在培训后能够独立地完成软件安装、维护和使用。</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3.</w:t>
      </w:r>
      <w:r>
        <w:rPr>
          <w:rFonts w:hint="eastAsia" w:ascii="宋体" w:hAnsi="宋体" w:eastAsia="宋体" w:cs="宋体"/>
          <w:b w:val="0"/>
          <w:bCs w:val="0"/>
          <w:color w:val="auto"/>
          <w:sz w:val="24"/>
          <w:szCs w:val="24"/>
          <w:highlight w:val="none"/>
          <w:lang w:val="zh-TW" w:eastAsia="zh-TW" w:bidi="ar-SA"/>
        </w:rPr>
        <w:t xml:space="preserve">实现HIS、EMR、PACS、LIS等业务系统进行版式文件采集，实现医院具备条件的单机报告采集版式文件采集，并实现可信归档，科室不需要打印病案，各个应用系统使用正常30个日历日为最终验收。</w:t>
      </w:r>
      <w:r/>
    </w:p>
    <w:p>
      <w:pPr>
        <w:numPr>
          <w:ilvl w:val="0"/>
          <w:numId w:val="1"/>
        </w:numPr>
        <w:ind w:firstLine="42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履约保证金</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1、履约保证金：成交单位在合同签订前向采购人缴纳（成交价的10%）履约保证金，项目完成并经采购人确认无误后无息退还。</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履约保证金提交形式：银行转账、支票、汇票、本票、金融机构出具的保函或者保证保险等非现金形式。</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2、履约保证金</w:t>
      </w:r>
      <w:r>
        <w:rPr>
          <w:rFonts w:hint="eastAsia" w:ascii="宋体" w:hAnsi="宋体" w:eastAsia="宋体" w:cs="宋体"/>
          <w:color w:val="auto"/>
          <w:sz w:val="24"/>
          <w:highlight w:val="none"/>
          <w:lang w:val="en-US" w:eastAsia="zh-CN"/>
        </w:rPr>
        <w:t xml:space="preserve">待项目完成后，且无违约行为，甲方收到乙方提供的相关票据后按财务流程返还</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3、如乙方未能履行合同规定的义务，甲方有权从履约保证金中取得补偿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不足部分由乙方予以补足</w:t>
      </w:r>
      <w:r>
        <w:rPr>
          <w:rFonts w:hint="eastAsia" w:ascii="宋体" w:hAnsi="宋体" w:eastAsia="宋体" w:cs="宋体"/>
          <w:color w:val="auto"/>
          <w:sz w:val="24"/>
          <w:highlight w:val="none"/>
        </w:rPr>
        <w:t xml:space="preserve">。</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TW"/>
        </w:rPr>
        <w:t xml:space="preserve">合同签订生效后，</w:t>
      </w:r>
      <w:r>
        <w:rPr>
          <w:rFonts w:hint="eastAsia" w:ascii="宋体" w:hAnsi="宋体" w:eastAsia="宋体" w:cs="宋体"/>
          <w:color w:val="auto"/>
          <w:sz w:val="24"/>
          <w:szCs w:val="24"/>
          <w:highlight w:val="none"/>
          <w:lang w:val="en-US" w:eastAsia="zh-CN"/>
        </w:rPr>
        <w:t xml:space="preserve">待</w:t>
      </w:r>
      <w:r>
        <w:rPr>
          <w:rFonts w:hint="eastAsia" w:ascii="宋体" w:hAnsi="宋体" w:eastAsia="宋体" w:cs="宋体"/>
          <w:color w:val="auto"/>
          <w:sz w:val="24"/>
          <w:szCs w:val="24"/>
          <w:highlight w:val="none"/>
          <w:lang w:val="zh-TW" w:eastAsia="zh-TW"/>
        </w:rPr>
        <w:t xml:space="preserve">系统上线达到验收标准</w:t>
      </w:r>
      <w:r>
        <w:rPr>
          <w:rFonts w:hint="eastAsia" w:ascii="宋体" w:hAnsi="宋体" w:eastAsia="宋体" w:cs="宋体"/>
          <w:color w:val="auto"/>
          <w:sz w:val="24"/>
          <w:szCs w:val="24"/>
          <w:highlight w:val="none"/>
          <w:lang w:val="en-US" w:eastAsia="zh-CN"/>
        </w:rPr>
        <w:t xml:space="preserve">并完成验收后</w:t>
      </w:r>
      <w:r>
        <w:rPr>
          <w:rFonts w:hint="eastAsia" w:ascii="宋体" w:hAnsi="宋体" w:eastAsia="宋体" w:cs="宋体"/>
          <w:color w:val="auto"/>
          <w:sz w:val="24"/>
          <w:szCs w:val="24"/>
          <w:highlight w:val="none"/>
          <w:lang w:val="zh-TW" w:eastAsia="zh-TW"/>
        </w:rPr>
        <w:t xml:space="preserve">，采购人向成交供应商支付合同总金额的</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zh-TW" w:eastAsia="zh-TW"/>
        </w:rPr>
        <w:t xml:space="preserve">%；验收合格一年后支付合同金额</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TW" w:eastAsia="zh-TW"/>
        </w:rPr>
        <w:t xml:space="preserve">%。乙方在收到相应合同款项前，应向甲方提供按合同内容开具的增值税普通发票。乙方自行承担与本合同所涉产品相关的营业税、版税、版权费以及法律规定应由乙方承担的其他有关税费。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3.所有结算需供应商提供有效发票，否则甲方有权顺延付款期限且不承担任何责任。</w:t>
      </w:r>
      <w:r/>
    </w:p>
    <w:p>
      <w:pPr>
        <w:numPr>
          <w:ilvl w:val="0"/>
          <w:numId w:val="1"/>
        </w:num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1、甲方违约责任及违约金支付：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甲方</w:t>
      </w:r>
      <w:r>
        <w:rPr>
          <w:rFonts w:hint="eastAsia" w:ascii="宋体" w:hAnsi="宋体" w:eastAsia="宋体" w:cs="宋体"/>
          <w:color w:val="auto"/>
          <w:sz w:val="24"/>
          <w:szCs w:val="24"/>
          <w:highlight w:val="none"/>
          <w:lang w:val="en-US" w:eastAsia="zh-CN"/>
        </w:rPr>
        <w:t xml:space="preserve">无正当理由</w:t>
      </w:r>
      <w:r>
        <w:rPr>
          <w:rFonts w:hint="eastAsia" w:ascii="宋体" w:hAnsi="宋体" w:eastAsia="宋体" w:cs="宋体"/>
          <w:color w:val="auto"/>
          <w:sz w:val="24"/>
          <w:szCs w:val="24"/>
          <w:highlight w:val="none"/>
          <w:lang w:val="zh-CN" w:eastAsia="zh-CN"/>
        </w:rPr>
        <w:t xml:space="preserve">逾期付款的，应按照逾期付款金额的每天万分之</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eastAsia="zh-CN"/>
        </w:rPr>
        <w:t xml:space="preserve">支付逾期付款违约金，总额不超过合同总价款的5%。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甲方违反合同规定，拒绝接受乙方交付的合格标的物，应当承担乙方由此造成的损失。</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2、乙方违约责任及违约金支付：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 乙方未按合同约定时间完成系统交付或通过最终验收的，每逾期一日应向甲方支付合同总额的5‰。逾期超过30日的，甲方有权解除本合同，并要求乙方承担合同总价款15%的违约金。如违约金不足以弥补给甲方造成的损失，甲方有权要求乙方全额补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i w:val="0"/>
          <w:iCs w:val="0"/>
          <w:caps w:val="0"/>
          <w:color w:val="auto"/>
          <w:spacing w:val="0"/>
          <w:sz w:val="24"/>
          <w:szCs w:val="24"/>
          <w:highlight w:val="none"/>
          <w:shd w:val="clear" w:color="auto"/>
          <w:lang w:val="zh-CN"/>
        </w:rPr>
        <w:t xml:space="preserve">乙方交付的系统关键功能出现重大缺陷无法满足使用需求的，甲方有权</w:t>
      </w:r>
      <w:r>
        <w:rPr>
          <w:rFonts w:hint="eastAsia" w:ascii="宋体" w:hAnsi="宋体" w:eastAsia="宋体" w:cs="宋体"/>
          <w:i w:val="0"/>
          <w:iCs w:val="0"/>
          <w:caps w:val="0"/>
          <w:color w:val="auto"/>
          <w:spacing w:val="0"/>
          <w:sz w:val="24"/>
          <w:szCs w:val="24"/>
          <w:highlight w:val="none"/>
          <w:shd w:val="clear" w:color="auto"/>
          <w:lang w:val="en-US" w:eastAsia="zh-CN"/>
        </w:rPr>
        <w:t xml:space="preserve">限期</w:t>
      </w:r>
      <w:r>
        <w:rPr>
          <w:rFonts w:hint="eastAsia" w:ascii="宋体" w:hAnsi="宋体" w:eastAsia="宋体" w:cs="宋体"/>
          <w:i w:val="0"/>
          <w:iCs w:val="0"/>
          <w:caps w:val="0"/>
          <w:color w:val="auto"/>
          <w:spacing w:val="0"/>
          <w:sz w:val="24"/>
          <w:szCs w:val="24"/>
          <w:highlight w:val="none"/>
          <w:shd w:val="clear" w:color="auto"/>
          <w:lang w:val="zh-CN"/>
        </w:rPr>
        <w:t xml:space="preserve">要求乙方</w:t>
      </w:r>
      <w:r>
        <w:rPr>
          <w:rFonts w:hint="eastAsia" w:ascii="宋体" w:hAnsi="宋体" w:eastAsia="宋体" w:cs="宋体"/>
          <w:i w:val="0"/>
          <w:iCs w:val="0"/>
          <w:caps w:val="0"/>
          <w:color w:val="auto"/>
          <w:spacing w:val="0"/>
          <w:sz w:val="24"/>
          <w:szCs w:val="24"/>
          <w:highlight w:val="none"/>
          <w:shd w:val="clear" w:color="auto"/>
          <w:lang w:val="en-US" w:eastAsia="zh-CN"/>
        </w:rPr>
        <w:t xml:space="preserve">整改直至通过验收，乙方应自行承担因此产生的额外费用</w:t>
      </w:r>
      <w:r>
        <w:rPr>
          <w:rFonts w:hint="eastAsia" w:ascii="宋体" w:hAnsi="宋体" w:eastAsia="宋体" w:cs="宋体"/>
          <w:i w:val="0"/>
          <w:iCs w:val="0"/>
          <w:caps w:val="0"/>
          <w:color w:val="auto"/>
          <w:spacing w:val="0"/>
          <w:sz w:val="24"/>
          <w:szCs w:val="24"/>
          <w:highlight w:val="none"/>
          <w:shd w:val="clear" w:color="auto"/>
          <w:lang w:val="zh-CN"/>
        </w:rPr>
        <w:t xml:space="preserve">。乙方未在合理期限内完成</w:t>
      </w:r>
      <w:r>
        <w:rPr>
          <w:rFonts w:hint="eastAsia" w:ascii="宋体" w:hAnsi="宋体" w:eastAsia="宋体" w:cs="宋体"/>
          <w:i w:val="0"/>
          <w:iCs w:val="0"/>
          <w:caps w:val="0"/>
          <w:color w:val="auto"/>
          <w:spacing w:val="0"/>
          <w:sz w:val="24"/>
          <w:szCs w:val="24"/>
          <w:highlight w:val="none"/>
          <w:shd w:val="clear" w:color="auto"/>
          <w:lang w:val="en-US" w:eastAsia="zh-CN"/>
        </w:rPr>
        <w:t xml:space="preserve">整改</w:t>
      </w:r>
      <w:r>
        <w:rPr>
          <w:rFonts w:hint="eastAsia" w:ascii="宋体" w:hAnsi="宋体" w:eastAsia="宋体" w:cs="宋体"/>
          <w:i w:val="0"/>
          <w:iCs w:val="0"/>
          <w:caps w:val="0"/>
          <w:color w:val="auto"/>
          <w:spacing w:val="0"/>
          <w:sz w:val="24"/>
          <w:szCs w:val="24"/>
          <w:highlight w:val="none"/>
          <w:shd w:val="clear" w:color="auto"/>
          <w:lang w:val="zh-CN"/>
        </w:rPr>
        <w:t xml:space="preserve">的，</w:t>
      </w:r>
      <w:r>
        <w:rPr>
          <w:rFonts w:hint="eastAsia" w:ascii="宋体" w:hAnsi="宋体" w:eastAsia="宋体" w:cs="宋体"/>
          <w:i w:val="0"/>
          <w:iCs w:val="0"/>
          <w:caps w:val="0"/>
          <w:color w:val="auto"/>
          <w:spacing w:val="0"/>
          <w:sz w:val="24"/>
          <w:szCs w:val="24"/>
          <w:highlight w:val="none"/>
          <w:shd w:val="clear" w:color="auto"/>
          <w:lang w:val="en-US" w:eastAsia="zh-CN"/>
        </w:rPr>
        <w:t xml:space="preserve">甲方有权解除本合同，乙方</w:t>
      </w:r>
      <w:r>
        <w:rPr>
          <w:rFonts w:hint="eastAsia" w:ascii="宋体" w:hAnsi="宋体" w:eastAsia="宋体" w:cs="宋体"/>
          <w:i w:val="0"/>
          <w:iCs w:val="0"/>
          <w:caps w:val="0"/>
          <w:color w:val="auto"/>
          <w:spacing w:val="0"/>
          <w:sz w:val="24"/>
          <w:szCs w:val="24"/>
          <w:highlight w:val="none"/>
          <w:shd w:val="clear" w:color="auto"/>
          <w:lang w:val="zh-CN"/>
        </w:rPr>
        <w:t xml:space="preserve">应按合同总价款的</w:t>
      </w:r>
      <w:r>
        <w:rPr>
          <w:rFonts w:hint="eastAsia" w:ascii="宋体" w:hAnsi="宋体" w:eastAsia="宋体" w:cs="宋体"/>
          <w:b w:val="0"/>
          <w:bCs w:val="0"/>
          <w:i w:val="0"/>
          <w:iCs w:val="0"/>
          <w:caps w:val="0"/>
          <w:color w:val="auto"/>
          <w:spacing w:val="0"/>
          <w:sz w:val="24"/>
          <w:szCs w:val="24"/>
          <w:highlight w:val="none"/>
          <w:shd w:val="clear" w:color="auto"/>
          <w:lang w:val="zh-CN"/>
        </w:rPr>
        <w:t xml:space="preserve">1</w:t>
      </w:r>
      <w:r>
        <w:rPr>
          <w:rFonts w:hint="eastAsia" w:ascii="宋体" w:hAnsi="宋体" w:eastAsia="宋体" w:cs="宋体"/>
          <w:b w:val="0"/>
          <w:bCs w:val="0"/>
          <w:i w:val="0"/>
          <w:iCs w:val="0"/>
          <w:caps w:val="0"/>
          <w:color w:val="auto"/>
          <w:spacing w:val="0"/>
          <w:sz w:val="24"/>
          <w:szCs w:val="24"/>
          <w:highlight w:val="none"/>
          <w:shd w:val="clear" w:color="auto"/>
          <w:lang w:val="en-US" w:eastAsia="zh-CN"/>
        </w:rPr>
        <w:t xml:space="preserve">5</w:t>
      </w:r>
      <w:r>
        <w:rPr>
          <w:rFonts w:hint="eastAsia" w:ascii="宋体" w:hAnsi="宋体" w:eastAsia="宋体" w:cs="宋体"/>
          <w:b w:val="0"/>
          <w:bCs w:val="0"/>
          <w:i w:val="0"/>
          <w:iCs w:val="0"/>
          <w:caps w:val="0"/>
          <w:color w:val="auto"/>
          <w:spacing w:val="0"/>
          <w:sz w:val="24"/>
          <w:szCs w:val="24"/>
          <w:highlight w:val="none"/>
          <w:shd w:val="clear" w:color="auto"/>
          <w:lang w:val="zh-CN"/>
        </w:rPr>
        <w:t xml:space="preserve">%</w:t>
      </w:r>
      <w:r>
        <w:rPr>
          <w:rFonts w:hint="eastAsia" w:ascii="宋体" w:hAnsi="宋体" w:eastAsia="宋体" w:cs="宋体"/>
          <w:i w:val="0"/>
          <w:iCs w:val="0"/>
          <w:caps w:val="0"/>
          <w:color w:val="auto"/>
          <w:spacing w:val="0"/>
          <w:sz w:val="24"/>
          <w:szCs w:val="24"/>
          <w:highlight w:val="none"/>
          <w:shd w:val="clear" w:color="auto"/>
          <w:lang w:val="zh-CN"/>
        </w:rPr>
        <w:t xml:space="preserve">支付违约金，并承担甲方因此产生的实际损失。</w:t>
      </w:r>
      <w:r/>
    </w:p>
    <w:p>
      <w:pPr>
        <w:ind w:firstLine="42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zh-CN" w:eastAsia="zh-CN"/>
        </w:rPr>
        <w:t xml:space="preserve">如乙方未能按照本合同约定提供质保售后服务的，</w:t>
      </w:r>
      <w:r>
        <w:rPr>
          <w:rFonts w:hint="eastAsia" w:ascii="宋体" w:hAnsi="宋体" w:eastAsia="宋体" w:cs="宋体"/>
          <w:color w:val="auto"/>
          <w:sz w:val="24"/>
          <w:szCs w:val="24"/>
          <w:highlight w:val="none"/>
          <w:lang w:val="en-US" w:eastAsia="zh-CN"/>
        </w:rPr>
        <w:t xml:space="preserve">每逾期一日应向甲方支付合同总额的5‰。</w:t>
      </w:r>
      <w:r>
        <w:rPr>
          <w:rFonts w:hint="eastAsia" w:ascii="宋体" w:hAnsi="宋体" w:eastAsia="宋体" w:cs="宋体"/>
          <w:color w:val="auto"/>
          <w:sz w:val="24"/>
          <w:highlight w:val="none"/>
        </w:rPr>
        <w:t xml:space="preserve">乙方逾期提供服务的，甲方有权自行或委托第三方</w:t>
      </w:r>
      <w:r>
        <w:rPr>
          <w:rFonts w:hint="eastAsia" w:ascii="宋体" w:hAnsi="宋体" w:eastAsia="宋体" w:cs="宋体"/>
          <w:color w:val="auto"/>
          <w:sz w:val="24"/>
          <w:highlight w:val="none"/>
          <w:lang w:val="en-US" w:eastAsia="zh-CN"/>
        </w:rPr>
        <w:t xml:space="preserve">提供服务</w:t>
      </w:r>
      <w:r>
        <w:rPr>
          <w:rFonts w:hint="eastAsia" w:ascii="宋体" w:hAnsi="宋体" w:eastAsia="宋体" w:cs="宋体"/>
          <w:color w:val="auto"/>
          <w:sz w:val="24"/>
          <w:highlight w:val="none"/>
        </w:rPr>
        <w:t xml:space="preserve">，因此产生的全部费用由乙方承担，甲方可从应付合同款中直接扣除，不足部分向乙方追偿。乙方逾期提供服务的累计天数超过</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日的，甲方有权单方解除合同，并要求乙方按合同总价款的10%支付违约金。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4未经甲方事先的书面同意，</w:t>
      </w:r>
      <w:r>
        <w:rPr>
          <w:rFonts w:hint="eastAsia" w:ascii="宋体" w:hAnsi="宋体" w:eastAsia="宋体" w:cs="宋体"/>
          <w:color w:val="auto"/>
          <w:sz w:val="24"/>
          <w:szCs w:val="24"/>
          <w:highlight w:val="none"/>
          <w:lang w:val="zh-CN" w:eastAsia="zh-CN"/>
        </w:rPr>
        <w:t xml:space="preserve">乙方不得将本项目自行分包，否则，甲方有权立即解除合同。</w:t>
      </w:r>
      <w:r>
        <w:rPr>
          <w:rFonts w:hint="eastAsia" w:ascii="宋体" w:hAnsi="宋体" w:eastAsia="宋体" w:cs="宋体"/>
          <w:color w:val="auto"/>
          <w:sz w:val="24"/>
          <w:szCs w:val="24"/>
          <w:highlight w:val="none"/>
          <w:lang w:val="en-US" w:eastAsia="zh-CN"/>
        </w:rPr>
        <w:t xml:space="preserve">乙方应承担相当于本合同总价款15%的违约金，如违约金不足以弥补给甲方造成的损失，甲方有权要求乙方全额补足。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乙方应安全施工，并避免和防止乙方出现安全事故发生，乙方负责对乙方的施工人员进行人身意外险投保，若发生安全事故均由乙方负责处理和承担责任，包括但不限于经济赔偿和行政处理。该等责任与甲方无涉，</w:t>
      </w:r>
      <w:r>
        <w:rPr>
          <w:rFonts w:hint="eastAsia" w:ascii="宋体" w:hAnsi="宋体" w:eastAsia="宋体" w:cs="宋体"/>
          <w:color w:val="auto"/>
          <w:sz w:val="24"/>
          <w:szCs w:val="24"/>
          <w:highlight w:val="none"/>
          <w:lang w:val="en-US" w:eastAsia="zh-CN"/>
        </w:rPr>
        <w:t xml:space="preserve">因此给甲方造成损失的，乙方应承担甲方的全部损失</w:t>
      </w:r>
      <w:r>
        <w:rPr>
          <w:rFonts w:hint="eastAsia" w:ascii="宋体" w:hAnsi="宋体" w:eastAsia="宋体" w:cs="宋体"/>
          <w:color w:val="auto"/>
          <w:sz w:val="24"/>
          <w:szCs w:val="24"/>
          <w:highlight w:val="none"/>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如乙方违反本合同其他义务的，且在收到甲方书面通知指定的合理时间未能纠正或怠于更正的，乙方应承担相当于本合同总价款15%的违约金，如违约金不足以弥补给甲方造成的损失，甲方有权要求乙方全额补足。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 本合同生效后，任何一方不履行或不完全履行本合同约定义务的，即构成违约。守约方</w:t>
      </w:r>
      <w:bookmarkStart w:id="108" w:name="_Hlk155620639"/>
      <w:r>
        <w:rPr>
          <w:rFonts w:hint="eastAsia" w:ascii="宋体" w:hAnsi="宋体" w:eastAsia="宋体" w:cs="宋体"/>
          <w:color w:val="auto"/>
          <w:sz w:val="24"/>
          <w:szCs w:val="24"/>
          <w:highlight w:val="none"/>
          <w:lang w:val="zh-CN" w:eastAsia="zh-CN"/>
        </w:rPr>
        <w:t xml:space="preserve">有权要求违约方承担违约金，若实际损失超过违约金的应按照实际损失承担赔偿责任，损失赔偿范围包括但不限于守约方的直接损失、间接损失及维权支出的各项费用（诉讼费、律师费、鉴定费、调查费和保全费等）。</w:t>
      </w:r>
      <w:bookmarkEnd w:id="108"/>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不可抗力事件处理</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numPr>
          <w:ilvl w:val="0"/>
          <w:numId w:val="1"/>
        </w:numPr>
        <w:ind w:left="0" w:firstLine="420"/>
        <w:pageBreakBefore w:val="0"/>
        <w:spacing w:line="360" w:lineRule="auto"/>
        <w:rPr>
          <w:rFonts w:hint="eastAsia" w:ascii="宋体" w:hAnsi="宋体" w:eastAsia="宋体" w:cs="宋体"/>
          <w:b/>
          <w:bCs/>
          <w:i w:val="0"/>
          <w:iCs w:val="0"/>
          <w:color w:val="auto"/>
          <w:sz w:val="24"/>
          <w:szCs w:val="24"/>
          <w:highlight w:val="none"/>
          <w:lang w:val="en-US" w:eastAsia="zh-CN" w:bidi="ar-SA"/>
        </w:rPr>
        <w:outlineLvl w:val="9"/>
      </w:pPr>
      <w:r>
        <w:rPr>
          <w:rFonts w:hint="eastAsia" w:ascii="宋体" w:hAnsi="宋体" w:eastAsia="宋体" w:cs="宋体"/>
          <w:b/>
          <w:bCs/>
          <w:i w:val="0"/>
          <w:iCs w:val="0"/>
          <w:color w:val="auto"/>
          <w:sz w:val="24"/>
          <w:szCs w:val="24"/>
          <w:highlight w:val="none"/>
          <w:lang w:val="en-US" w:eastAsia="zh-CN" w:bidi="ar-SA"/>
        </w:rPr>
        <w:t xml:space="preserve">合同的变更和终止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政府采购法》第</w:t>
      </w:r>
      <w:r>
        <w:rPr>
          <w:rFonts w:hint="eastAsia" w:ascii="宋体" w:hAnsi="宋体" w:eastAsia="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五十条</w:t>
      </w:r>
      <w:r>
        <w:rPr>
          <w:rFonts w:hint="eastAsia" w:ascii="宋体" w:hAnsi="宋体" w:eastAsia="宋体" w:cs="宋体"/>
          <w:color w:val="auto"/>
          <w:sz w:val="24"/>
          <w:szCs w:val="24"/>
          <w:highlight w:val="none"/>
        </w:rPr>
        <w:t xml:space="preserve">规定的情形</w:t>
      </w:r>
      <w:r>
        <w:rPr>
          <w:rFonts w:hint="eastAsia" w:ascii="宋体" w:hAnsi="宋体" w:eastAsia="宋体" w:cs="宋体"/>
          <w:color w:val="auto"/>
          <w:sz w:val="24"/>
          <w:szCs w:val="24"/>
          <w:highlight w:val="none"/>
          <w:lang w:val="en-US" w:eastAsia="zh-CN"/>
        </w:rPr>
        <w:t xml:space="preserve">及本合同特别约定</w:t>
      </w:r>
      <w:r>
        <w:rPr>
          <w:rFonts w:hint="eastAsia" w:ascii="宋体" w:hAnsi="宋体" w:eastAsia="宋体" w:cs="宋体"/>
          <w:color w:val="auto"/>
          <w:sz w:val="24"/>
          <w:szCs w:val="24"/>
          <w:highlight w:val="none"/>
        </w:rPr>
        <w:t xml:space="preserve">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合同的转让</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乙方不得擅自部分或全部转让其应履行的合同义务。</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争议的解决</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1.因履行本合同引起的或与本合同有关的争议，甲、乙双方应首先通过友好协商解决，如果协商不能解决争议，可向泰州市海陵区人民法院起诉解决。</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2.在诉讼期间，本合同应继续履行。</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诚实信用</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乙方应诚实信用，严格按照</w:t>
      </w:r>
      <w:r>
        <w:rPr>
          <w:rFonts w:hint="eastAsia" w:ascii="宋体" w:hAnsi="宋体" w:eastAsia="宋体" w:cs="宋体"/>
          <w:i w:val="0"/>
          <w:iCs w:val="0"/>
          <w:color w:val="auto"/>
          <w:sz w:val="24"/>
          <w:szCs w:val="24"/>
          <w:highlight w:val="none"/>
          <w:lang w:val="en-US" w:eastAsia="zh-CN"/>
        </w:rPr>
        <w:t xml:space="preserve">响应</w:t>
      </w:r>
      <w:r>
        <w:rPr>
          <w:rFonts w:hint="eastAsia" w:ascii="宋体" w:hAnsi="宋体" w:eastAsia="宋体" w:cs="宋体"/>
          <w:i w:val="0"/>
          <w:iCs w:val="0"/>
          <w:color w:val="auto"/>
          <w:sz w:val="24"/>
          <w:szCs w:val="24"/>
          <w:highlight w:val="none"/>
        </w:rPr>
        <w:t xml:space="preserve">文件要求</w:t>
      </w:r>
      <w:r>
        <w:rPr>
          <w:rFonts w:hint="eastAsia" w:ascii="宋体" w:hAnsi="宋体" w:eastAsia="宋体" w:cs="宋体"/>
          <w:i w:val="0"/>
          <w:iCs w:val="0"/>
          <w:color w:val="auto"/>
          <w:sz w:val="24"/>
          <w:szCs w:val="24"/>
          <w:highlight w:val="none"/>
          <w:lang w:val="en-US" w:eastAsia="zh-CN"/>
        </w:rPr>
        <w:t xml:space="preserve">和</w:t>
      </w:r>
      <w:r>
        <w:rPr>
          <w:rFonts w:hint="eastAsia" w:ascii="宋体" w:hAnsi="宋体" w:eastAsia="宋体" w:cs="宋体"/>
          <w:i w:val="0"/>
          <w:iCs w:val="0"/>
          <w:color w:val="auto"/>
          <w:sz w:val="24"/>
          <w:szCs w:val="24"/>
          <w:highlight w:val="none"/>
        </w:rPr>
        <w:t xml:space="preserve">承诺履行合同，不向甲方进行商业贿赂或者提供不正当利益。</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保密协定</w:t>
      </w:r>
      <w:r/>
    </w:p>
    <w:p>
      <w:pPr>
        <w:pStyle w:val="719"/>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bidi="ar-SA"/>
        </w:rPr>
        <w:t xml:space="preserve">未经双方书面同意，不得泄露、使用或向第三方提供保密信息。未经双方授权，任何一方不得公开或私自复制、修改或对外发布保密信息。双方应采取合理的安全措施对保密信息进行保护，防止信息泄露或被非法获取。若保密信息处于不安全环境或被泄露，应及时通知对方并采取必要措施防止损失扩大。</w:t>
      </w:r>
      <w:r/>
    </w:p>
    <w:p>
      <w:pPr>
        <w:numPr>
          <w:ilvl w:val="0"/>
          <w:numId w:val="1"/>
        </w:numPr>
        <w:ind w:left="0" w:firstLine="42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合同生效及其他</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1.合同经双方法定代表人或授权委托代表人签字并加盖单位公章后生效。</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2.本合同一式</w:t>
      </w:r>
      <w:r>
        <w:rPr>
          <w:rFonts w:hint="eastAsia" w:ascii="宋体" w:hAnsi="宋体" w:eastAsia="宋体" w:cs="宋体"/>
          <w:i w:val="0"/>
          <w:iCs w:val="0"/>
          <w:color w:val="auto"/>
          <w:sz w:val="24"/>
          <w:szCs w:val="24"/>
          <w:highlight w:val="none"/>
          <w:u w:val="single"/>
          <w:lang w:eastAsia="zh-CN"/>
        </w:rPr>
        <w:t xml:space="preserve">肆</w:t>
      </w:r>
      <w:r>
        <w:rPr>
          <w:rFonts w:hint="eastAsia" w:ascii="宋体" w:hAnsi="宋体" w:eastAsia="宋体" w:cs="宋体"/>
          <w:i w:val="0"/>
          <w:iCs w:val="0"/>
          <w:color w:val="auto"/>
          <w:sz w:val="24"/>
          <w:szCs w:val="24"/>
          <w:highlight w:val="none"/>
        </w:rPr>
        <w:t xml:space="preserve">份，甲方执</w:t>
      </w:r>
      <w:r>
        <w:rPr>
          <w:rFonts w:hint="eastAsia" w:ascii="宋体" w:hAnsi="宋体" w:eastAsia="宋体" w:cs="宋体"/>
          <w:i w:val="0"/>
          <w:iCs w:val="0"/>
          <w:color w:val="auto"/>
          <w:sz w:val="24"/>
          <w:szCs w:val="24"/>
          <w:highlight w:val="none"/>
          <w:u w:val="single"/>
          <w:lang w:eastAsia="zh-CN"/>
        </w:rPr>
        <w:t xml:space="preserve">叁</w:t>
      </w:r>
      <w:r>
        <w:rPr>
          <w:rFonts w:hint="eastAsia" w:ascii="宋体" w:hAnsi="宋体" w:eastAsia="宋体" w:cs="宋体"/>
          <w:i w:val="0"/>
          <w:iCs w:val="0"/>
          <w:color w:val="auto"/>
          <w:sz w:val="24"/>
          <w:szCs w:val="24"/>
          <w:highlight w:val="none"/>
        </w:rPr>
        <w:t xml:space="preserve">份，乙方执</w:t>
      </w:r>
      <w:r>
        <w:rPr>
          <w:rFonts w:hint="eastAsia" w:ascii="宋体" w:hAnsi="宋体" w:eastAsia="宋体" w:cs="宋体"/>
          <w:i w:val="0"/>
          <w:iCs w:val="0"/>
          <w:color w:val="auto"/>
          <w:sz w:val="24"/>
          <w:szCs w:val="24"/>
          <w:highlight w:val="none"/>
          <w:u w:val="single"/>
          <w:lang w:eastAsia="zh-CN"/>
        </w:rPr>
        <w:t xml:space="preserve">壹</w:t>
      </w:r>
      <w:r>
        <w:rPr>
          <w:rFonts w:hint="eastAsia" w:ascii="宋体" w:hAnsi="宋体" w:eastAsia="宋体" w:cs="宋体"/>
          <w:i w:val="0"/>
          <w:iCs w:val="0"/>
          <w:color w:val="auto"/>
          <w:sz w:val="24"/>
          <w:szCs w:val="24"/>
          <w:highlight w:val="none"/>
        </w:rPr>
        <w:t xml:space="preserve">份，每份具有同等法律效力。</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rPr>
        <w:t xml:space="preserve">3.本合同应按照中华人民共和国的现行法律进行解释。</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rPr>
        <w:t xml:space="preserve">甲方：</w:t>
      </w:r>
      <w:r>
        <w:rPr>
          <w:rFonts w:hint="eastAsia" w:ascii="宋体" w:hAnsi="宋体" w:eastAsia="宋体" w:cs="宋体"/>
          <w:i w:val="0"/>
          <w:iCs w:val="0"/>
          <w:color w:val="auto"/>
          <w:spacing w:val="0"/>
          <w:sz w:val="24"/>
          <w:szCs w:val="24"/>
          <w:highlight w:val="none"/>
          <w:lang w:val="en-US" w:eastAsia="zh-CN"/>
        </w:rPr>
        <w:t xml:space="preserve">泰州市第四人民医院</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乙方：</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rPr>
        <w:t xml:space="preserve">地址：</w:t>
      </w:r>
      <w:r>
        <w:rPr>
          <w:rFonts w:hint="eastAsia" w:ascii="宋体" w:hAnsi="宋体" w:eastAsia="宋体" w:cs="宋体"/>
          <w:i w:val="0"/>
          <w:iCs w:val="0"/>
          <w:color w:val="auto"/>
          <w:spacing w:val="0"/>
          <w:sz w:val="24"/>
          <w:szCs w:val="24"/>
          <w:highlight w:val="none"/>
          <w:lang w:val="en-US" w:eastAsia="zh-CN"/>
        </w:rPr>
        <w:t xml:space="preserve">江苏省泰州市海陵区鼓楼北路99号     </w:t>
      </w:r>
      <w:r>
        <w:rPr>
          <w:rFonts w:hint="eastAsia" w:ascii="宋体" w:hAnsi="宋体" w:eastAsia="宋体" w:cs="宋体"/>
          <w:i w:val="0"/>
          <w:iCs w:val="0"/>
          <w:color w:val="auto"/>
          <w:spacing w:val="0"/>
          <w:sz w:val="24"/>
          <w:szCs w:val="24"/>
          <w:highlight w:val="none"/>
        </w:rPr>
        <w:t xml:space="preserve">地址： </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rPr>
        <w:t xml:space="preserve">法定代表人或授权代表：             </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法定代表人或授权代表：</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 xml:space="preserve">开户银行：建行泰州分行营业部              开户银行：</w:t>
      </w:r>
      <w:r/>
    </w:p>
    <w:p>
      <w:pPr>
        <w:numPr>
          <w:ilvl w:val="0"/>
          <w:numId w:val="0"/>
        </w:numPr>
        <w:ind w:firstLine="480"/>
        <w:keepLines w:val="0"/>
        <w:keepNext w:val="0"/>
        <w:pageBreakBefore w:val="0"/>
        <w:spacing w:line="360" w:lineRule="auto"/>
        <w:widowControl w:val="off"/>
        <w:rPr>
          <w:rFonts w:hint="eastAsia" w:ascii="宋体" w:hAnsi="宋体" w:eastAsia="宋体" w:cs="宋体"/>
          <w:i w:val="0"/>
          <w:iCs w:val="0"/>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 xml:space="preserve">账号：32001768636051549294                账号：</w:t>
      </w:r>
      <w:r>
        <w:rPr>
          <w:rFonts w:hint="eastAsia" w:ascii="宋体" w:hAnsi="宋体" w:eastAsia="宋体" w:cs="宋体"/>
          <w:i w:val="0"/>
          <w:iCs w:val="0"/>
          <w:color w:val="auto"/>
          <w:spacing w:val="0"/>
          <w:sz w:val="24"/>
          <w:szCs w:val="24"/>
          <w:highlight w:val="none"/>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i w:val="0"/>
          <w:iCs w:val="0"/>
          <w:color w:val="auto"/>
          <w:sz w:val="30"/>
          <w:szCs w:val="30"/>
          <w:highlight w:val="none"/>
          <w:lang w:val="en-US" w:eastAsia="zh-CN" w:bidi="ar"/>
        </w:rPr>
        <w:suppressLineNumbers w:val="0"/>
      </w:pPr>
      <w:r>
        <w:rPr>
          <w:rFonts w:hint="eastAsia" w:ascii="宋体" w:hAnsi="宋体" w:eastAsia="宋体" w:cs="宋体"/>
          <w:i w:val="0"/>
          <w:iCs w:val="0"/>
          <w:color w:val="auto"/>
          <w:spacing w:val="0"/>
          <w:sz w:val="24"/>
          <w:szCs w:val="24"/>
          <w:highlight w:val="none"/>
        </w:rPr>
        <w:t xml:space="preserve">签订日期：    年    月   日</w:t>
      </w:r>
      <w:r>
        <w:rPr>
          <w:rFonts w:hint="eastAsia" w:ascii="宋体" w:hAnsi="宋体" w:eastAsia="宋体" w:cs="宋体"/>
          <w:i w:val="0"/>
          <w:iCs w:val="0"/>
          <w:color w:val="auto"/>
          <w:spacing w:val="0"/>
          <w:sz w:val="24"/>
          <w:szCs w:val="24"/>
          <w:highlight w:val="none"/>
          <w:lang w:val="en-US" w:eastAsia="zh-CN"/>
        </w:rPr>
        <w:t xml:space="preserve">               </w:t>
      </w:r>
      <w:r>
        <w:rPr>
          <w:rFonts w:hint="eastAsia" w:ascii="宋体" w:hAnsi="宋体" w:eastAsia="宋体" w:cs="宋体"/>
          <w:i w:val="0"/>
          <w:iCs w:val="0"/>
          <w:color w:val="auto"/>
          <w:spacing w:val="0"/>
          <w:sz w:val="24"/>
          <w:szCs w:val="24"/>
          <w:highlight w:val="none"/>
        </w:rPr>
        <w:t xml:space="preserve">签订日期：    年    月   </w:t>
      </w:r>
      <w:r>
        <w:rPr>
          <w:rFonts w:hint="eastAsia" w:ascii="宋体" w:hAnsi="宋体" w:eastAsia="宋体" w:cs="宋体"/>
          <w:i w:val="0"/>
          <w:iCs w:val="0"/>
          <w:color w:val="auto"/>
          <w:spacing w:val="0"/>
          <w:sz w:val="24"/>
          <w:szCs w:val="24"/>
          <w:highlight w:val="none"/>
          <w:lang w:val="en-US" w:eastAsia="zh-CN"/>
        </w:rPr>
        <w:t xml:space="preserve">日</w:t>
      </w:r>
      <w:r/>
    </w:p>
    <w:p>
      <w:pPr>
        <w:jc w:val="center"/>
        <w:spacing w:line="360" w:lineRule="auto"/>
        <w:rPr>
          <w:rFonts w:hint="eastAsia" w:ascii="宋体" w:hAnsi="宋体" w:eastAsia="宋体" w:cs="宋体"/>
          <w:b/>
          <w:bCs/>
          <w:color w:val="auto"/>
          <w:sz w:val="40"/>
          <w:szCs w:val="40"/>
          <w:highlight w:val="none"/>
        </w:rPr>
        <w:outlineLvl w:val="0"/>
      </w:pPr>
      <w:r>
        <w:rPr>
          <w:rFonts w:hint="eastAsia" w:ascii="宋体" w:hAnsi="宋体" w:eastAsia="宋体" w:cs="宋体"/>
          <w:b/>
          <w:bCs/>
          <w:color w:val="auto"/>
          <w:sz w:val="40"/>
          <w:szCs w:val="40"/>
          <w:highlight w:val="none"/>
        </w:rPr>
      </w:r>
      <w:r/>
    </w:p>
    <w:p>
      <w:pPr>
        <w:jc w:val="center"/>
        <w:spacing w:line="360" w:lineRule="auto"/>
        <w:rPr>
          <w:rFonts w:hint="eastAsia" w:ascii="宋体" w:hAnsi="宋体" w:eastAsia="宋体" w:cs="宋体"/>
          <w:b/>
          <w:bCs/>
          <w:color w:val="auto"/>
          <w:sz w:val="40"/>
          <w:szCs w:val="40"/>
          <w:highlight w:val="none"/>
        </w:rPr>
        <w:outlineLvl w:val="0"/>
      </w:pPr>
      <w:r>
        <w:rPr>
          <w:rFonts w:hint="eastAsia" w:ascii="宋体" w:hAnsi="宋体" w:eastAsia="宋体" w:cs="宋体"/>
          <w:b/>
          <w:bCs/>
          <w:color w:val="auto"/>
          <w:sz w:val="40"/>
          <w:szCs w:val="40"/>
          <w:highlight w:val="none"/>
        </w:rPr>
      </w:r>
      <w:r/>
    </w:p>
    <w:p>
      <w:pPr>
        <w:jc w:val="center"/>
        <w:spacing w:line="360" w:lineRule="auto"/>
        <w:rPr>
          <w:rFonts w:hint="eastAsia" w:ascii="宋体" w:hAnsi="宋体" w:eastAsia="宋体" w:cs="宋体"/>
          <w:b/>
          <w:bCs/>
          <w:color w:val="auto"/>
          <w:sz w:val="40"/>
          <w:szCs w:val="40"/>
          <w:highlight w:val="none"/>
        </w:rPr>
        <w:outlineLvl w:val="0"/>
      </w:pPr>
      <w:r>
        <w:rPr>
          <w:rFonts w:hint="eastAsia" w:ascii="宋体" w:hAnsi="宋体" w:eastAsia="宋体" w:cs="宋体"/>
          <w:b/>
          <w:bCs/>
          <w:color w:val="auto"/>
          <w:sz w:val="40"/>
          <w:szCs w:val="40"/>
          <w:highlight w:val="none"/>
        </w:rPr>
      </w:r>
      <w:r/>
    </w:p>
    <w:p>
      <w:pPr>
        <w:spacing w:line="360" w:lineRule="auto"/>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br w:type="page" w:clear="all"/>
      </w:r>
      <w:r/>
    </w:p>
    <w:p>
      <w:pPr>
        <w:jc w:val="center"/>
        <w:spacing w:line="360" w:lineRule="auto"/>
        <w:rPr>
          <w:rFonts w:hint="eastAsia" w:ascii="宋体" w:hAnsi="宋体" w:eastAsia="宋体" w:cs="宋体"/>
          <w:b/>
          <w:bCs/>
          <w:color w:val="auto"/>
          <w:sz w:val="40"/>
          <w:szCs w:val="40"/>
          <w:highlight w:val="none"/>
        </w:rPr>
        <w:outlineLvl w:val="0"/>
      </w:pPr>
      <w:r>
        <w:rPr>
          <w:rFonts w:hint="eastAsia" w:ascii="宋体" w:hAnsi="宋体" w:eastAsia="宋体" w:cs="宋体"/>
          <w:b/>
          <w:bCs/>
          <w:color w:val="auto"/>
          <w:sz w:val="40"/>
          <w:szCs w:val="40"/>
          <w:highlight w:val="none"/>
        </w:rPr>
        <w:t xml:space="preserve">第四章  项目需求</w:t>
      </w:r>
      <w:bookmarkEnd w:id="107"/>
      <w:r/>
      <w:r/>
    </w:p>
    <w:p>
      <w:pPr>
        <w:spacing w:line="360" w:lineRule="auto"/>
        <w:rPr>
          <w:rFonts w:hint="eastAsia" w:ascii="宋体" w:hAnsi="宋体" w:eastAsia="宋体" w:cs="宋体"/>
          <w:bCs/>
          <w:color w:val="auto"/>
          <w:sz w:val="24"/>
          <w:szCs w:val="32"/>
          <w:highlight w:val="none"/>
          <w:lang w:val="zh-TW" w:eastAsia="zh-TW"/>
        </w:rPr>
        <w:outlineLvl w:val="9"/>
      </w:pPr>
      <w:r>
        <w:rPr>
          <w:rFonts w:hint="eastAsia" w:ascii="宋体" w:hAnsi="宋体" w:eastAsia="宋体" w:cs="宋体"/>
          <w:color w:val="auto"/>
          <w:sz w:val="24"/>
          <w:szCs w:val="32"/>
          <w:highlight w:val="none"/>
          <w:lang w:val="en-US" w:eastAsia="zh-CN"/>
        </w:rPr>
        <w:t xml:space="preserve">一、</w:t>
      </w:r>
      <w:r>
        <w:rPr>
          <w:rFonts w:hint="eastAsia" w:ascii="宋体" w:hAnsi="宋体" w:eastAsia="宋体" w:cs="宋体"/>
          <w:color w:val="auto"/>
          <w:sz w:val="24"/>
          <w:szCs w:val="32"/>
          <w:highlight w:val="none"/>
          <w:lang w:val="zh-TW" w:eastAsia="zh-TW"/>
        </w:rPr>
        <w:t xml:space="preserve">项目概况</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bidi="ar"/>
        </w:rPr>
        <w:t xml:space="preserve">随着医院信息化建设进入深化应用阶段，我院已完成全业务流程的数字化覆盖，但在电子病历系统应用水平分级评价五级与六级评审目标驱动下，传统纸质病案已成为制约医疗数据互联互通与全流程无纸化管理的关键瓶颈。为响应《公立医院高质量发展评价指标》关于</w:t>
      </w:r>
      <w:r>
        <w:rPr>
          <w:rFonts w:hint="eastAsia" w:ascii="宋体" w:hAnsi="宋体" w:eastAsia="宋体" w:cs="宋体"/>
          <w:color w:val="auto"/>
          <w:sz w:val="24"/>
          <w:szCs w:val="32"/>
          <w:highlight w:val="none"/>
          <w:lang w:eastAsia="zh-CN" w:bidi="ar"/>
        </w:rPr>
        <w:t xml:space="preserve">“</w:t>
      </w:r>
      <w:r>
        <w:rPr>
          <w:rFonts w:hint="eastAsia" w:ascii="宋体" w:hAnsi="宋体" w:eastAsia="宋体" w:cs="宋体"/>
          <w:color w:val="auto"/>
          <w:sz w:val="24"/>
          <w:szCs w:val="32"/>
          <w:highlight w:val="none"/>
          <w:lang w:bidi="ar"/>
        </w:rPr>
        <w:t xml:space="preserve">智慧医院建设</w:t>
      </w:r>
      <w:r>
        <w:rPr>
          <w:rFonts w:hint="eastAsia" w:ascii="宋体" w:hAnsi="宋体" w:eastAsia="宋体" w:cs="宋体"/>
          <w:color w:val="auto"/>
          <w:sz w:val="24"/>
          <w:szCs w:val="32"/>
          <w:highlight w:val="none"/>
          <w:lang w:eastAsia="zh-CN" w:bidi="ar"/>
        </w:rPr>
        <w:t xml:space="preserve">”</w:t>
      </w:r>
      <w:r>
        <w:rPr>
          <w:rFonts w:hint="eastAsia" w:ascii="宋体" w:hAnsi="宋体" w:eastAsia="宋体" w:cs="宋体"/>
          <w:color w:val="auto"/>
          <w:sz w:val="24"/>
          <w:szCs w:val="32"/>
          <w:highlight w:val="none"/>
          <w:lang w:bidi="ar"/>
        </w:rPr>
        <w:t xml:space="preserve">和</w:t>
      </w:r>
      <w:r>
        <w:rPr>
          <w:rFonts w:hint="eastAsia" w:ascii="宋体" w:hAnsi="宋体" w:eastAsia="宋体" w:cs="宋体"/>
          <w:color w:val="auto"/>
          <w:sz w:val="24"/>
          <w:szCs w:val="32"/>
          <w:highlight w:val="none"/>
          <w:lang w:eastAsia="zh-CN" w:bidi="ar"/>
        </w:rPr>
        <w:t xml:space="preserve">“</w:t>
      </w:r>
      <w:r>
        <w:rPr>
          <w:rFonts w:hint="eastAsia" w:ascii="宋体" w:hAnsi="宋体" w:eastAsia="宋体" w:cs="宋体"/>
          <w:color w:val="auto"/>
          <w:sz w:val="24"/>
          <w:szCs w:val="32"/>
          <w:highlight w:val="none"/>
          <w:lang w:bidi="ar"/>
        </w:rPr>
        <w:t xml:space="preserve">医疗数据互联互通</w:t>
      </w:r>
      <w:r>
        <w:rPr>
          <w:rFonts w:hint="eastAsia" w:ascii="宋体" w:hAnsi="宋体" w:eastAsia="宋体" w:cs="宋体"/>
          <w:color w:val="auto"/>
          <w:sz w:val="24"/>
          <w:szCs w:val="32"/>
          <w:highlight w:val="none"/>
          <w:lang w:eastAsia="zh-CN" w:bidi="ar"/>
        </w:rPr>
        <w:t xml:space="preserve">”</w:t>
      </w:r>
      <w:r>
        <w:rPr>
          <w:rFonts w:hint="eastAsia" w:ascii="宋体" w:hAnsi="宋体" w:eastAsia="宋体" w:cs="宋体"/>
          <w:color w:val="auto"/>
          <w:sz w:val="24"/>
          <w:szCs w:val="32"/>
          <w:highlight w:val="none"/>
          <w:lang w:bidi="ar"/>
        </w:rPr>
        <w:t xml:space="preserve">的核心要求，我院正式启动病案无纸化系统建设项目，旨在构建覆盖诊疗全流程的可信病案数字化归档管理体系。</w:t>
      </w:r>
      <w:r/>
    </w:p>
    <w:p>
      <w:pPr>
        <w:ind w:firstLine="480"/>
        <w:spacing w:line="360" w:lineRule="auto"/>
        <w:rPr>
          <w:rFonts w:hint="eastAsia" w:ascii="宋体" w:hAnsi="宋体" w:eastAsia="宋体" w:cs="宋体"/>
          <w:color w:val="auto"/>
          <w:sz w:val="24"/>
          <w:szCs w:val="32"/>
          <w:highlight w:val="none"/>
          <w:lang w:val="zh-TW"/>
        </w:rPr>
        <w:outlineLvl w:val="9"/>
      </w:pPr>
      <w:r>
        <w:rPr>
          <w:rFonts w:hint="eastAsia" w:ascii="宋体" w:hAnsi="宋体" w:eastAsia="宋体" w:cs="宋体"/>
          <w:color w:val="auto"/>
          <w:sz w:val="24"/>
          <w:szCs w:val="32"/>
          <w:highlight w:val="none"/>
          <w:lang w:bidi="ar"/>
        </w:rPr>
        <w:t xml:space="preserve">本项目以可信病案数字化归档系统为核心载体，深度融合医疗业务流程与信息安全体系，通过部署</w:t>
      </w:r>
      <w:r>
        <w:rPr>
          <w:rFonts w:hint="eastAsia" w:ascii="宋体" w:hAnsi="宋体" w:eastAsia="宋体" w:cs="宋体"/>
          <w:color w:val="auto"/>
          <w:sz w:val="24"/>
          <w:szCs w:val="32"/>
          <w:highlight w:val="none"/>
          <w:lang w:bidi="ar"/>
        </w:rPr>
        <w:t xml:space="preserve">可信病案数字化归档系统</w:t>
      </w:r>
      <w:r>
        <w:rPr>
          <w:rFonts w:hint="eastAsia" w:ascii="宋体" w:hAnsi="宋体" w:eastAsia="宋体" w:cs="宋体"/>
          <w:color w:val="auto"/>
          <w:sz w:val="24"/>
          <w:szCs w:val="32"/>
          <w:highlight w:val="none"/>
          <w:lang w:bidi="ar"/>
        </w:rPr>
        <w:t xml:space="preserve">、无纸化病案综合应用系统、互联网综合应用、患者自助打印服务系统、患者签名签章等，实现与HIS、EMR、PACS、LIS等院内业务系统的深度集成，有效</w:t>
      </w:r>
      <w:r>
        <w:rPr>
          <w:rFonts w:hint="eastAsia" w:ascii="宋体" w:hAnsi="宋体" w:eastAsia="宋体" w:cs="宋体"/>
          <w:color w:val="auto"/>
          <w:sz w:val="24"/>
          <w:szCs w:val="32"/>
          <w:highlight w:val="none"/>
          <w:lang w:val="en-US" w:eastAsia="zh-CN" w:bidi="ar"/>
        </w:rPr>
        <w:t xml:space="preserve">地</w:t>
      </w:r>
      <w:r>
        <w:rPr>
          <w:rFonts w:hint="eastAsia" w:ascii="宋体" w:hAnsi="宋体" w:eastAsia="宋体" w:cs="宋体"/>
          <w:color w:val="auto"/>
          <w:sz w:val="24"/>
          <w:szCs w:val="32"/>
          <w:highlight w:val="none"/>
          <w:lang w:bidi="ar"/>
        </w:rPr>
        <w:t xml:space="preserve">解决病案收集、保管、打印、复印、借阅、随访、科研等工作效率不高、耗费人力物力等问题，同时规范诊疗行为、提高医疗质量、优化医疗服务和提高患者安全及满意度。</w:t>
      </w:r>
      <w:r/>
    </w:p>
    <w:p>
      <w:pPr>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en-US" w:eastAsia="zh-CN"/>
        </w:rPr>
        <w:t xml:space="preserve">二、</w:t>
      </w:r>
      <w:r>
        <w:rPr>
          <w:rFonts w:hint="eastAsia" w:ascii="宋体" w:hAnsi="宋体" w:eastAsia="宋体" w:cs="宋体"/>
          <w:color w:val="auto"/>
          <w:sz w:val="24"/>
          <w:szCs w:val="32"/>
          <w:highlight w:val="none"/>
          <w:lang w:val="zh-TW" w:eastAsia="zh-TW"/>
        </w:rPr>
        <w:t xml:space="preserve">总体需求</w:t>
      </w:r>
      <w:r/>
    </w:p>
    <w:p>
      <w:pPr>
        <w:numPr>
          <w:ilvl w:val="0"/>
          <w:numId w:val="3"/>
        </w:numPr>
        <w:ind w:firstLine="480"/>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zh-TW" w:eastAsia="zh-TW"/>
        </w:rPr>
        <w:t xml:space="preserve">质保期：软件质保1年，</w:t>
      </w:r>
      <w:r>
        <w:rPr>
          <w:rFonts w:hint="eastAsia" w:ascii="宋体" w:hAnsi="宋体" w:eastAsia="宋体" w:cs="宋体"/>
          <w:color w:val="auto"/>
          <w:sz w:val="24"/>
          <w:szCs w:val="32"/>
          <w:highlight w:val="none"/>
          <w:lang w:val="en-US" w:eastAsia="zh-CN"/>
        </w:rPr>
        <w:t xml:space="preserve">自验收合格之日起算，</w:t>
      </w:r>
      <w:r>
        <w:rPr>
          <w:rFonts w:hint="eastAsia" w:ascii="宋体" w:hAnsi="宋体" w:eastAsia="宋体" w:cs="宋体"/>
          <w:color w:val="auto"/>
          <w:sz w:val="24"/>
          <w:szCs w:val="32"/>
          <w:highlight w:val="none"/>
          <w:lang w:val="zh-TW" w:eastAsia="zh-TW"/>
        </w:rPr>
        <w:t xml:space="preserve">质保期内免费提供技术支持及软件升级服务</w:t>
      </w:r>
      <w:r>
        <w:rPr>
          <w:rFonts w:hint="eastAsia" w:ascii="宋体" w:hAnsi="宋体" w:eastAsia="宋体" w:cs="宋体"/>
          <w:color w:val="auto"/>
          <w:sz w:val="24"/>
          <w:szCs w:val="32"/>
          <w:highlight w:val="none"/>
          <w:lang w:val="zh-TW" w:eastAsia="zh-CN"/>
        </w:rPr>
        <w:t xml:space="preserve">。</w:t>
      </w:r>
      <w:r/>
    </w:p>
    <w:p>
      <w:pPr>
        <w:numPr>
          <w:ilvl w:val="0"/>
          <w:numId w:val="3"/>
        </w:numPr>
        <w:ind w:firstLine="480"/>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zh-TW" w:eastAsia="zh-TW"/>
        </w:rPr>
        <w:t xml:space="preserve">交货期：合同</w:t>
      </w:r>
      <w:r>
        <w:rPr>
          <w:rFonts w:hint="eastAsia" w:ascii="宋体" w:hAnsi="宋体" w:eastAsia="宋体" w:cs="宋体"/>
          <w:color w:val="auto"/>
          <w:sz w:val="24"/>
          <w:szCs w:val="32"/>
          <w:highlight w:val="none"/>
          <w:lang w:val="en-US" w:eastAsia="zh-CN"/>
        </w:rPr>
        <w:t xml:space="preserve">签订生效</w:t>
      </w:r>
      <w:r>
        <w:rPr>
          <w:rFonts w:hint="eastAsia" w:ascii="宋体" w:hAnsi="宋体" w:eastAsia="宋体" w:cs="宋体"/>
          <w:color w:val="auto"/>
          <w:sz w:val="24"/>
          <w:szCs w:val="32"/>
          <w:highlight w:val="none"/>
          <w:lang w:val="zh-TW" w:eastAsia="zh-TW"/>
        </w:rPr>
        <w:t xml:space="preserve">后180日内完成。</w:t>
      </w:r>
      <w:r/>
    </w:p>
    <w:p>
      <w:pPr>
        <w:numPr>
          <w:ilvl w:val="0"/>
          <w:numId w:val="3"/>
        </w:numPr>
        <w:ind w:firstLine="480"/>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zh-TW" w:eastAsia="zh-TW"/>
        </w:rPr>
        <w:t xml:space="preserve">交货地点：医院指定地点。</w:t>
      </w:r>
      <w:r/>
    </w:p>
    <w:p>
      <w:pPr>
        <w:numPr>
          <w:ilvl w:val="0"/>
          <w:numId w:val="3"/>
        </w:numPr>
        <w:ind w:firstLine="480"/>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zh-TW" w:eastAsia="zh-TW"/>
        </w:rPr>
        <w:t xml:space="preserve">付款方式：合同签订生效后，</w:t>
      </w:r>
      <w:r>
        <w:rPr>
          <w:rFonts w:hint="eastAsia" w:ascii="宋体" w:hAnsi="宋体" w:eastAsia="宋体" w:cs="宋体"/>
          <w:color w:val="auto"/>
          <w:sz w:val="24"/>
          <w:szCs w:val="32"/>
          <w:highlight w:val="none"/>
          <w:lang w:val="en-US" w:eastAsia="zh-CN"/>
        </w:rPr>
        <w:t xml:space="preserve">待</w:t>
      </w:r>
      <w:r>
        <w:rPr>
          <w:rFonts w:hint="eastAsia" w:ascii="宋体" w:hAnsi="宋体" w:eastAsia="宋体" w:cs="宋体"/>
          <w:color w:val="auto"/>
          <w:sz w:val="24"/>
          <w:szCs w:val="32"/>
          <w:highlight w:val="none"/>
          <w:lang w:val="zh-TW" w:eastAsia="zh-TW"/>
        </w:rPr>
        <w:t xml:space="preserve">系统上线达到验收标准</w:t>
      </w:r>
      <w:r>
        <w:rPr>
          <w:rFonts w:hint="eastAsia" w:ascii="宋体" w:hAnsi="宋体" w:eastAsia="宋体" w:cs="宋体"/>
          <w:color w:val="auto"/>
          <w:sz w:val="24"/>
          <w:szCs w:val="32"/>
          <w:highlight w:val="none"/>
          <w:lang w:val="en-US" w:eastAsia="zh-CN"/>
        </w:rPr>
        <w:t xml:space="preserve">并完成验收后</w:t>
      </w:r>
      <w:r>
        <w:rPr>
          <w:rFonts w:hint="eastAsia" w:ascii="宋体" w:hAnsi="宋体" w:eastAsia="宋体" w:cs="宋体"/>
          <w:color w:val="auto"/>
          <w:sz w:val="24"/>
          <w:szCs w:val="32"/>
          <w:highlight w:val="none"/>
          <w:lang w:val="zh-TW" w:eastAsia="zh-TW"/>
        </w:rPr>
        <w:t xml:space="preserve">，采购人向成交供应商支付合同总金额的</w:t>
      </w:r>
      <w:r>
        <w:rPr>
          <w:rFonts w:hint="eastAsia" w:ascii="宋体" w:hAnsi="宋体" w:eastAsia="宋体" w:cs="宋体"/>
          <w:color w:val="auto"/>
          <w:sz w:val="24"/>
          <w:szCs w:val="32"/>
          <w:highlight w:val="none"/>
          <w:lang w:val="en-US" w:eastAsia="zh-CN"/>
        </w:rPr>
        <w:t xml:space="preserve">90</w:t>
      </w:r>
      <w:r>
        <w:rPr>
          <w:rFonts w:hint="eastAsia" w:ascii="宋体" w:hAnsi="宋体" w:eastAsia="宋体" w:cs="宋体"/>
          <w:color w:val="auto"/>
          <w:sz w:val="24"/>
          <w:szCs w:val="32"/>
          <w:highlight w:val="none"/>
          <w:lang w:val="zh-TW" w:eastAsia="zh-TW"/>
        </w:rPr>
        <w:t xml:space="preserve">%；验收合格一年后支付合同金额</w:t>
      </w:r>
      <w:r>
        <w:rPr>
          <w:rFonts w:hint="eastAsia" w:ascii="宋体" w:hAnsi="宋体" w:eastAsia="宋体" w:cs="宋体"/>
          <w:color w:val="auto"/>
          <w:sz w:val="24"/>
          <w:szCs w:val="32"/>
          <w:highlight w:val="none"/>
          <w:lang w:val="en-US" w:eastAsia="zh-CN"/>
        </w:rPr>
        <w:t xml:space="preserve">10</w:t>
      </w:r>
      <w:r>
        <w:rPr>
          <w:rFonts w:hint="eastAsia" w:ascii="宋体" w:hAnsi="宋体" w:eastAsia="宋体" w:cs="宋体"/>
          <w:color w:val="auto"/>
          <w:sz w:val="24"/>
          <w:szCs w:val="32"/>
          <w:highlight w:val="none"/>
          <w:lang w:val="zh-TW" w:eastAsia="zh-TW"/>
        </w:rPr>
        <w:t xml:space="preserve">%。乙方在收到相应合同款项前，应向甲方提供按合同内容开具的增值税普通发票。乙方自行承担与本合同所涉产品相关的营业税、版税、版权费以及法律规定应由乙方承担的其他有关税费。</w:t>
      </w:r>
      <w:r/>
    </w:p>
    <w:p>
      <w:pPr>
        <w:numPr>
          <w:ilvl w:val="0"/>
          <w:numId w:val="3"/>
        </w:numPr>
        <w:ind w:firstLine="480"/>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zh-TW" w:eastAsia="zh-TW"/>
        </w:rPr>
        <w:t xml:space="preserve">验收标准：实现HIS、EMR、PACS、LIS等业务系统进行版式文件采集，实现医院具备条件的单机报告采集版式文件采集，并实现可信归档，科室不需要打印病案，各个应用系统使用正常30个日历日为最终验收。</w:t>
      </w:r>
      <w:r/>
    </w:p>
    <w:p>
      <w:pPr>
        <w:numPr>
          <w:ilvl w:val="0"/>
          <w:numId w:val="3"/>
        </w:numPr>
        <w:ind w:firstLine="480"/>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zh-TW" w:eastAsia="zh-TW"/>
        </w:rPr>
        <w:t xml:space="preserve">售后服务：</w:t>
      </w:r>
      <w:r/>
    </w:p>
    <w:p>
      <w:pPr>
        <w:numPr>
          <w:ilvl w:val="0"/>
          <w:numId w:val="0"/>
        </w:num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32"/>
          <w:highlight w:val="none"/>
          <w:lang w:val="en-US" w:eastAsia="zh-CN" w:bidi="ar-SA"/>
        </w:rPr>
        <w:t xml:space="preserve">1）</w:t>
      </w:r>
      <w:r>
        <w:rPr>
          <w:rFonts w:hint="eastAsia" w:ascii="宋体" w:hAnsi="宋体" w:eastAsia="宋体" w:cs="宋体"/>
          <w:color w:val="auto"/>
          <w:sz w:val="24"/>
          <w:szCs w:val="32"/>
          <w:highlight w:val="none"/>
        </w:rPr>
        <w:t xml:space="preserve">故障</w:t>
      </w:r>
      <w:r>
        <w:rPr>
          <w:rFonts w:hint="eastAsia" w:ascii="宋体" w:hAnsi="宋体" w:eastAsia="宋体" w:cs="宋体"/>
          <w:color w:val="auto"/>
          <w:sz w:val="24"/>
          <w:szCs w:val="24"/>
          <w:highlight w:val="none"/>
        </w:rPr>
        <w:t xml:space="preserve">报修的响应时间：</w:t>
      </w:r>
      <w:r>
        <w:rPr>
          <w:rStyle w:val="930"/>
          <w:rFonts w:hint="eastAsia" w:ascii="宋体" w:hAnsi="宋体" w:eastAsia="宋体" w:cs="宋体"/>
          <w:color w:val="auto"/>
          <w:sz w:val="24"/>
          <w:szCs w:val="24"/>
          <w:highlight w:val="none"/>
          <w:lang w:val="en-US" w:eastAsia="zh-CN" w:bidi="ar"/>
        </w:rPr>
        <w:t xml:space="preserve">质保期内7×24小时技术服务，响应时间≤2小时</w:t>
      </w:r>
      <w:r>
        <w:rPr>
          <w:rFonts w:hint="eastAsia" w:ascii="宋体" w:hAnsi="宋体" w:eastAsia="宋体" w:cs="宋体"/>
          <w:color w:val="auto"/>
          <w:sz w:val="24"/>
          <w:szCs w:val="24"/>
          <w:highlight w:val="none"/>
        </w:rPr>
        <w:t xml:space="preserve">。若电话中无法解决，4小时内到达现场。质量保证期内中标人应对由于系统设计或服务的缺陷而发生的任何不足和故障提供解决方案。</w:t>
      </w:r>
      <w:r/>
    </w:p>
    <w:p>
      <w:pPr>
        <w:numPr>
          <w:ilvl w:val="0"/>
          <w:numId w:val="0"/>
        </w:num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在质量保证期内，如果系统发生故障，中标人须调查故障原因并上门免费修复直至满足性能的要求。</w:t>
      </w:r>
      <w:r/>
    </w:p>
    <w:p>
      <w:pPr>
        <w:numPr>
          <w:ilvl w:val="0"/>
          <w:numId w:val="0"/>
        </w:numPr>
        <w:ind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lang w:val="en-US" w:eastAsia="zh-CN" w:bidi="ar-SA"/>
        </w:rPr>
        <w:t xml:space="preserve">3）</w:t>
      </w:r>
      <w:r>
        <w:rPr>
          <w:rFonts w:hint="eastAsia" w:ascii="宋体" w:hAnsi="宋体" w:eastAsia="宋体" w:cs="宋体"/>
          <w:color w:val="auto"/>
          <w:sz w:val="24"/>
          <w:szCs w:val="32"/>
          <w:highlight w:val="none"/>
        </w:rPr>
        <w:t xml:space="preserve">每年不得少于2次巡检，加强维护软硬件系统，消除安全隐患。</w:t>
      </w:r>
      <w:r/>
    </w:p>
    <w:p>
      <w:pPr>
        <w:numPr>
          <w:ilvl w:val="0"/>
          <w:numId w:val="0"/>
        </w:numPr>
        <w:ind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lang w:val="en-US" w:eastAsia="zh-CN" w:bidi="ar-SA"/>
        </w:rPr>
        <w:t xml:space="preserve">4）</w:t>
      </w:r>
      <w:r>
        <w:rPr>
          <w:rFonts w:hint="eastAsia" w:ascii="宋体" w:hAnsi="宋体" w:eastAsia="宋体" w:cs="宋体"/>
          <w:color w:val="auto"/>
          <w:sz w:val="24"/>
          <w:szCs w:val="32"/>
          <w:highlight w:val="none"/>
        </w:rPr>
        <w:t xml:space="preserve">乙方派工程师按照甲方要求安装相关软硬件并进行操作方法培训。</w:t>
      </w:r>
      <w:r/>
    </w:p>
    <w:p>
      <w:pPr>
        <w:numPr>
          <w:ilvl w:val="0"/>
          <w:numId w:val="3"/>
        </w:numPr>
        <w:ind w:firstLine="480"/>
        <w:spacing w:line="360" w:lineRule="auto"/>
        <w:rPr>
          <w:rFonts w:hint="eastAsia" w:ascii="宋体" w:hAnsi="宋体" w:eastAsia="宋体" w:cs="宋体"/>
          <w:color w:val="auto"/>
          <w:sz w:val="24"/>
          <w:szCs w:val="32"/>
          <w:highlight w:val="none"/>
          <w:lang w:val="zh-TW" w:eastAsia="zh-TW"/>
        </w:rPr>
        <w:outlineLvl w:val="9"/>
      </w:pPr>
      <w:r>
        <w:rPr>
          <w:rFonts w:hint="eastAsia" w:ascii="宋体" w:hAnsi="宋体" w:eastAsia="宋体" w:cs="宋体"/>
          <w:color w:val="auto"/>
          <w:sz w:val="24"/>
          <w:szCs w:val="32"/>
          <w:highlight w:val="none"/>
          <w:lang w:val="zh-TW" w:eastAsia="zh-TW"/>
        </w:rPr>
        <w:t xml:space="preserve">其他：虚假应标，无故拖延项目进度，需承担相关法律责任和医院损失，需提供承诺书。</w:t>
      </w:r>
      <w:r/>
    </w:p>
    <w:p>
      <w:pPr>
        <w:jc w:val="center"/>
        <w:spacing w:line="360" w:lineRule="auto"/>
        <w:rPr>
          <w:rFonts w:hint="eastAsia" w:ascii="宋体" w:hAnsi="宋体" w:eastAsia="宋体" w:cs="宋体"/>
          <w:b/>
          <w:bCs/>
          <w:color w:val="auto"/>
          <w:sz w:val="24"/>
          <w:szCs w:val="32"/>
          <w:highlight w:val="none"/>
          <w:lang w:val="zh-TW" w:eastAsia="zh-TW"/>
        </w:rPr>
        <w:outlineLvl w:val="9"/>
      </w:pPr>
      <w:r>
        <w:rPr>
          <w:rFonts w:hint="eastAsia" w:ascii="宋体" w:hAnsi="宋体" w:eastAsia="宋体" w:cs="宋体"/>
          <w:b/>
          <w:bCs/>
          <w:color w:val="auto"/>
          <w:sz w:val="24"/>
          <w:szCs w:val="32"/>
          <w:highlight w:val="none"/>
          <w:lang w:val="zh-TW" w:eastAsia="zh-TW"/>
        </w:rPr>
        <w:t xml:space="preserve">建设需求清单</w:t>
      </w:r>
      <w:r/>
    </w:p>
    <w:tbl>
      <w:tblPr>
        <w:tblStyle w:val="709"/>
        <w:tblW w:w="881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1144"/>
        <w:gridCol w:w="1760"/>
        <w:gridCol w:w="842"/>
        <w:gridCol w:w="843"/>
        <w:gridCol w:w="3621"/>
      </w:tblGrid>
      <w:tr>
        <w:trPr>
          <w:trHeight w:val="670"/>
        </w:trPr>
        <w:tc>
          <w:tcPr>
            <w:shd w:val="clear" w:color="auto" w:fill="ffffff" w:themeFill="background1"/>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序号</w:t>
            </w:r>
            <w:r/>
          </w:p>
        </w:tc>
        <w:tc>
          <w:tcPr>
            <w:gridSpan w:val="2"/>
            <w:shd w:val="clear" w:color="auto" w:fill="ffffff" w:themeFill="background1"/>
            <w:tcW w:w="2904"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系统</w:t>
            </w:r>
            <w:r/>
          </w:p>
        </w:tc>
        <w:tc>
          <w:tcPr>
            <w:shd w:val="clear" w:color="auto" w:fill="ffffff" w:themeFill="background1"/>
            <w:tcW w:w="842"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数量</w:t>
            </w:r>
            <w:r/>
          </w:p>
        </w:tc>
        <w:tc>
          <w:tcPr>
            <w:shd w:val="clear" w:color="auto" w:fill="ffffff" w:themeFill="background1"/>
            <w:tcW w:w="84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单位</w:t>
            </w:r>
            <w:r/>
          </w:p>
        </w:tc>
        <w:tc>
          <w:tcPr>
            <w:shd w:val="clear" w:color="auto" w:fill="ffffff" w:themeFill="background1"/>
            <w:tcW w:w="3621"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备注</w:t>
            </w:r>
            <w:r/>
          </w:p>
        </w:tc>
      </w:tr>
      <w:tr>
        <w:trPr>
          <w:trHeight w:val="104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w:t>
            </w:r>
            <w:r/>
          </w:p>
        </w:tc>
        <w:tc>
          <w:tcPr>
            <w:tcW w:w="1144"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无纸化病案平台</w:t>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病案无纸化系统</w:t>
            </w:r>
            <w:r/>
          </w:p>
        </w:tc>
        <w:tc>
          <w:tcPr>
            <w:tcW w:w="842" w:type="dxa"/>
            <w:vAlign w:val="center"/>
            <w:vMerge w:val="restart"/>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vMerge w:val="restart"/>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textDirection w:val="lrTb"/>
            <w:noWrap w:val="false"/>
          </w:tcPr>
          <w:p>
            <w:pPr>
              <w:ind w:firstLine="0"/>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总体技术要求、系统架构要求、安全要求、智能采集系统、单机报告采集系统、智能检查系统、终末质控系统、可信归档系统、临床文档中心、无纸化综合应用系统、数据可视化平台、病案互联网综合应用系统、病案示踪系统</w:t>
            </w:r>
            <w:r/>
          </w:p>
        </w:tc>
      </w:tr>
      <w:tr>
        <w:trPr>
          <w:trHeight w:val="37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2</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智能检查系统</w:t>
            </w:r>
            <w:r/>
          </w:p>
        </w:tc>
        <w:tc>
          <w:tcPr>
            <w:tcW w:w="84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c>
          <w:tcPr>
            <w:tcW w:w="843"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c>
          <w:tcPr>
            <w:tcW w:w="3621" w:type="dxa"/>
            <w:vAlign w:val="center"/>
            <w:textDirection w:val="lrTb"/>
            <w:noWrap w:val="false"/>
          </w:tcPr>
          <w:p>
            <w:pPr>
              <w:ind w:firstLine="0"/>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通过自然语义技术，在归档时无需人工参与自动归档</w:t>
            </w:r>
            <w:r/>
          </w:p>
        </w:tc>
      </w:tr>
      <w:tr>
        <w:trPr>
          <w:trHeight w:val="52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3</w:t>
            </w:r>
            <w:r/>
          </w:p>
        </w:tc>
        <w:tc>
          <w:tcPr>
            <w:tcW w:w="1144"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患者签名系统</w:t>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患者手写电子签名系统</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textDirection w:val="lrTb"/>
            <w:noWrap w:val="false"/>
          </w:tcPr>
          <w:p>
            <w:pPr>
              <w:ind w:firstLine="0"/>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一套屏端电子签名管理系统，实现用户管理、屏端设备管理、宣传素材管理、日志管理、系统配置等管理功能；</w:t>
            </w:r>
            <w:r/>
          </w:p>
        </w:tc>
      </w:tr>
      <w:tr>
        <w:trPr>
          <w:trHeight w:val="52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4</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签名屏APP软件</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textDirection w:val="lrTb"/>
            <w:noWrap w:val="false"/>
          </w:tcPr>
          <w:p>
            <w:pPr>
              <w:ind w:firstLine="0"/>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在智能电子签名屏中运行的APP，提供患者文书浏览、签字采集、指纹采集、文书电子签名和查看等功能。</w:t>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5</w:t>
            </w:r>
            <w:r/>
          </w:p>
        </w:tc>
        <w:tc>
          <w:tcPr>
            <w:tcW w:w="1144" w:type="dxa"/>
            <w:vAlign w:val="center"/>
            <w:vMerge w:val="restart"/>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系统改造</w:t>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HIS系统改造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各业务系统按照无纸化要求改造系统，对接CA系统，生成特定格式无纸化病历，并按要求提交到临床文档中心。</w:t>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6</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住院医生站系统改造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7</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住院电子病历系统</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8</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病区护士站系统改造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9</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护理病历系统改造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10</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急诊系统改造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11</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手麻系统改造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12</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LIS系统改造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13</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PACS系统改造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14</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重症系统改造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15</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血糖系统改造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16</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血透系统改造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17</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VTE系统改造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18</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病案翻拍系统改造</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套</w:t>
            </w:r>
            <w:r/>
          </w:p>
        </w:tc>
        <w:tc>
          <w:tcPr>
            <w:tcW w:w="3621"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r>
            <w:r/>
          </w:p>
        </w:tc>
      </w:tr>
      <w:tr>
        <w:trPr>
          <w:trHeight w:val="28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19</w:t>
            </w:r>
            <w:r/>
          </w:p>
        </w:tc>
        <w:tc>
          <w:tcPr>
            <w:tcW w:w="1144"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配套硬件</w:t>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高拍仪（不带身份证）</w:t>
            </w:r>
            <w:r/>
          </w:p>
        </w:tc>
        <w:tc>
          <w:tcPr>
            <w:tcW w:w="842"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14:ligatures w14:val="none"/>
              </w:rPr>
              <w:outlineLvl w:val="9"/>
            </w:pPr>
            <w:r>
              <w:rPr>
                <w:rFonts w:hint="eastAsia" w:ascii="宋体" w:hAnsi="宋体" w:eastAsia="宋体" w:cs="宋体"/>
                <w:color w:val="auto"/>
                <w:sz w:val="24"/>
                <w:szCs w:val="24"/>
                <w:highlight w:val="none"/>
                <w14:ligatures w14:val="none"/>
              </w:rPr>
              <w:t xml:space="preserve">2</w:t>
            </w:r>
            <w:r>
              <w:rPr>
                <w:rFonts w:hint="eastAsia" w:ascii="宋体" w:hAnsi="宋体" w:eastAsia="宋体" w:cs="宋体"/>
                <w:color w:val="auto"/>
                <w:sz w:val="24"/>
                <w:szCs w:val="24"/>
                <w:highlight w:val="none"/>
                <w:lang w:val="en-US" w:eastAsia="zh-CN"/>
                <w14:ligatures w14:val="none"/>
              </w:rPr>
              <w:t xml:space="preserve">8</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台</w:t>
            </w:r>
            <w:r/>
          </w:p>
        </w:tc>
        <w:tc>
          <w:tcPr>
            <w:tcW w:w="3621" w:type="dxa"/>
            <w:vAlign w:val="center"/>
            <w:textDirection w:val="lrTb"/>
            <w:noWrap w:val="false"/>
          </w:tcPr>
          <w:p>
            <w:pPr>
              <w:ind w:firstLine="0"/>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用于科室人工采集</w:t>
            </w:r>
            <w:r/>
          </w:p>
        </w:tc>
      </w:tr>
      <w:tr>
        <w:trPr>
          <w:trHeight w:val="104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lang w:eastAsia="zh-CN"/>
                <w14:ligatures w14:val="none"/>
              </w:rPr>
              <w:outlineLvl w:val="9"/>
            </w:pPr>
            <w:r>
              <w:rPr>
                <w:rFonts w:hint="eastAsia" w:ascii="宋体" w:hAnsi="宋体" w:eastAsia="宋体" w:cs="宋体"/>
                <w:b/>
                <w:bCs/>
                <w:color w:val="auto"/>
                <w:sz w:val="24"/>
                <w:szCs w:val="24"/>
                <w:highlight w:val="none"/>
                <w14:ligatures w14:val="none"/>
              </w:rPr>
              <w:t xml:space="preserve">2</w:t>
            </w:r>
            <w:r>
              <w:rPr>
                <w:rFonts w:hint="eastAsia" w:ascii="宋体" w:hAnsi="宋体" w:eastAsia="宋体" w:cs="宋体"/>
                <w:b/>
                <w:bCs/>
                <w:color w:val="auto"/>
                <w:sz w:val="24"/>
                <w:szCs w:val="24"/>
                <w:highlight w:val="none"/>
                <w:lang w:val="en-US" w:eastAsia="zh-CN"/>
                <w14:ligatures w14:val="none"/>
              </w:rPr>
              <w:t xml:space="preserve">0</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智能电子签名屏（无线）</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lang w:eastAsia="zh-CN"/>
                <w14:ligatures w14:val="none"/>
              </w:rPr>
              <w:outlineLvl w:val="9"/>
            </w:pPr>
            <w:r>
              <w:rPr>
                <w:rFonts w:hint="eastAsia" w:ascii="宋体" w:hAnsi="宋体" w:eastAsia="宋体" w:cs="宋体"/>
                <w:color w:val="auto"/>
                <w:sz w:val="24"/>
                <w:szCs w:val="24"/>
                <w:highlight w:val="none"/>
                <w14:ligatures w14:val="none"/>
              </w:rPr>
              <w:t xml:space="preserve">5</w:t>
            </w:r>
            <w:r>
              <w:rPr>
                <w:rFonts w:hint="eastAsia" w:ascii="宋体" w:hAnsi="宋体" w:eastAsia="宋体" w:cs="宋体"/>
                <w:color w:val="auto"/>
                <w:sz w:val="24"/>
                <w:szCs w:val="24"/>
                <w:highlight w:val="none"/>
                <w:lang w:val="en-US" w:eastAsia="zh-CN"/>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台</w:t>
            </w:r>
            <w:r/>
          </w:p>
        </w:tc>
        <w:tc>
          <w:tcPr>
            <w:tcW w:w="3621" w:type="dxa"/>
            <w:vAlign w:val="center"/>
            <w:textDirection w:val="lrTb"/>
            <w:noWrap w:val="false"/>
          </w:tcPr>
          <w:p>
            <w:pPr>
              <w:ind w:firstLine="0"/>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基于安卓智能操作系统并附带公安标准指纹仪专业智能签名屏，支持WiFi和移动网络，实现患者、家属在设备上查看文书、谈话录音、书写签字、采集指纹、签署文件和管理文件等功能。</w:t>
            </w:r>
            <w:r/>
          </w:p>
        </w:tc>
      </w:tr>
      <w:tr>
        <w:trPr>
          <w:trHeight w:val="1040"/>
        </w:trPr>
        <w:tc>
          <w:tcPr>
            <w:tcW w:w="603" w:type="dxa"/>
            <w:vAlign w:val="center"/>
            <w:textDirection w:val="lrTb"/>
            <w:noWrap/>
          </w:tcPr>
          <w:p>
            <w:pPr>
              <w:ind w:firstLine="0"/>
              <w:jc w:val="center"/>
              <w:spacing w:line="360" w:lineRule="auto"/>
              <w:widowControl/>
              <w:rPr>
                <w:rFonts w:hint="eastAsia" w:ascii="宋体" w:hAnsi="宋体" w:eastAsia="宋体" w:cs="宋体"/>
                <w:b/>
                <w:bCs/>
                <w:color w:val="auto"/>
                <w:sz w:val="24"/>
                <w:szCs w:val="24"/>
                <w:highlight w:val="none"/>
                <w:lang w:eastAsia="zh-CN"/>
                <w14:ligatures w14:val="none"/>
              </w:rPr>
              <w:outlineLvl w:val="9"/>
            </w:pPr>
            <w:r>
              <w:rPr>
                <w:rFonts w:hint="eastAsia" w:ascii="宋体" w:hAnsi="宋体" w:eastAsia="宋体" w:cs="宋体"/>
                <w:b/>
                <w:bCs/>
                <w:color w:val="auto"/>
                <w:sz w:val="24"/>
                <w:szCs w:val="24"/>
                <w:highlight w:val="none"/>
                <w14:ligatures w14:val="none"/>
              </w:rPr>
              <w:t xml:space="preserve">2</w:t>
            </w:r>
            <w:r>
              <w:rPr>
                <w:rFonts w:hint="eastAsia" w:ascii="宋体" w:hAnsi="宋体" w:eastAsia="宋体" w:cs="宋体"/>
                <w:b/>
                <w:bCs/>
                <w:color w:val="auto"/>
                <w:sz w:val="24"/>
                <w:szCs w:val="24"/>
                <w:highlight w:val="none"/>
                <w:lang w:val="en-US" w:eastAsia="zh-CN"/>
                <w14:ligatures w14:val="none"/>
              </w:rPr>
              <w:t xml:space="preserve">1</w:t>
            </w:r>
            <w:r/>
          </w:p>
        </w:tc>
        <w:tc>
          <w:tcPr>
            <w:tcW w:w="1144" w:type="dxa"/>
            <w:vAlign w:val="center"/>
            <w:vMerge w:val="continue"/>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r>
            <w:r/>
          </w:p>
        </w:tc>
        <w:tc>
          <w:tcPr>
            <w:tcW w:w="1760"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24"/>
                <w:highlight w:val="none"/>
                <w14:ligatures w14:val="none"/>
              </w:rPr>
              <w:outlineLvl w:val="9"/>
            </w:pPr>
            <w:r>
              <w:rPr>
                <w:rFonts w:hint="eastAsia" w:ascii="宋体" w:hAnsi="宋体" w:eastAsia="宋体" w:cs="宋体"/>
                <w:b/>
                <w:bCs/>
                <w:color w:val="auto"/>
                <w:sz w:val="24"/>
                <w:szCs w:val="24"/>
                <w:highlight w:val="none"/>
                <w14:ligatures w14:val="none"/>
              </w:rPr>
              <w:t xml:space="preserve">设备证书</w:t>
            </w:r>
            <w:r/>
          </w:p>
        </w:tc>
        <w:tc>
          <w:tcPr>
            <w:tcW w:w="842"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lang w:eastAsia="zh-CN"/>
                <w14:ligatures w14:val="none"/>
              </w:rPr>
              <w:outlineLvl w:val="9"/>
            </w:pPr>
            <w:r>
              <w:rPr>
                <w:rFonts w:hint="eastAsia" w:ascii="宋体" w:hAnsi="宋体" w:eastAsia="宋体" w:cs="宋体"/>
                <w:color w:val="auto"/>
                <w:sz w:val="24"/>
                <w:szCs w:val="24"/>
                <w:highlight w:val="none"/>
                <w14:ligatures w14:val="none"/>
              </w:rPr>
              <w:t xml:space="preserve">5</w:t>
            </w:r>
            <w:r>
              <w:rPr>
                <w:rFonts w:hint="eastAsia" w:ascii="宋体" w:hAnsi="宋体" w:eastAsia="宋体" w:cs="宋体"/>
                <w:color w:val="auto"/>
                <w:sz w:val="24"/>
                <w:szCs w:val="24"/>
                <w:highlight w:val="none"/>
                <w:lang w:val="en-US" w:eastAsia="zh-CN"/>
                <w14:ligatures w14:val="none"/>
              </w:rPr>
              <w:t xml:space="preserve">1</w:t>
            </w:r>
            <w:r/>
          </w:p>
        </w:tc>
        <w:tc>
          <w:tcPr>
            <w:tcW w:w="843" w:type="dxa"/>
            <w:vAlign w:val="center"/>
            <w:textDirection w:val="lrTb"/>
            <w:noWrap/>
          </w:tcPr>
          <w:p>
            <w:pPr>
              <w:ind w:firstLine="0"/>
              <w:jc w:val="center"/>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张/年</w:t>
            </w:r>
            <w:r/>
          </w:p>
        </w:tc>
        <w:tc>
          <w:tcPr>
            <w:tcW w:w="3621" w:type="dxa"/>
            <w:vAlign w:val="center"/>
            <w:textDirection w:val="lrTb"/>
            <w:noWrap w:val="false"/>
          </w:tcPr>
          <w:p>
            <w:pPr>
              <w:ind w:firstLine="0"/>
              <w:spacing w:line="360" w:lineRule="auto"/>
              <w:widowControl/>
              <w:rPr>
                <w:rFonts w:hint="eastAsia" w:ascii="宋体" w:hAnsi="宋体" w:eastAsia="宋体" w:cs="宋体"/>
                <w:color w:val="auto"/>
                <w:sz w:val="24"/>
                <w:szCs w:val="24"/>
                <w:highlight w:val="none"/>
                <w14:ligatures w14:val="none"/>
              </w:rPr>
              <w:outlineLvl w:val="9"/>
            </w:pPr>
            <w:r>
              <w:rPr>
                <w:rFonts w:hint="eastAsia" w:ascii="宋体" w:hAnsi="宋体" w:eastAsia="宋体" w:cs="宋体"/>
                <w:color w:val="auto"/>
                <w:sz w:val="24"/>
                <w:szCs w:val="24"/>
                <w:highlight w:val="none"/>
                <w14:ligatures w14:val="none"/>
              </w:rPr>
              <w:t xml:space="preserve">基于签名屏设备特征信息签发的可信设备数字证书，确保签署结果</w:t>
            </w:r>
            <w:r>
              <w:rPr>
                <w:rFonts w:hint="eastAsia" w:ascii="宋体" w:hAnsi="宋体" w:eastAsia="宋体" w:cs="宋体"/>
                <w:color w:val="auto"/>
                <w:sz w:val="24"/>
                <w:szCs w:val="24"/>
                <w:highlight w:val="none"/>
                <w:lang w:val="en-US" w:eastAsia="zh-CN"/>
                <w14:ligatures w14:val="none"/>
              </w:rPr>
              <w:t xml:space="preserve">来自可</w:t>
            </w:r>
            <w:r>
              <w:rPr>
                <w:rFonts w:hint="eastAsia" w:ascii="宋体" w:hAnsi="宋体" w:eastAsia="宋体" w:cs="宋体"/>
                <w:color w:val="auto"/>
                <w:sz w:val="24"/>
                <w:szCs w:val="24"/>
                <w:highlight w:val="none"/>
                <w14:ligatures w14:val="none"/>
              </w:rPr>
              <w:t xml:space="preserve">信的设备，满足司法取证所需。由合规的CA认证机构按设备特征签发，用于该签名屏设备对医疗文书电子签名和有效性查验。</w:t>
            </w:r>
            <w:r/>
          </w:p>
        </w:tc>
      </w:tr>
    </w:tbl>
    <w:p>
      <w:pPr>
        <w:jc w:val="center"/>
        <w:spacing w:line="360" w:lineRule="auto"/>
        <w:rPr>
          <w:rFonts w:hint="eastAsia" w:ascii="宋体" w:hAnsi="宋体" w:eastAsia="宋体" w:cs="宋体"/>
          <w:b/>
          <w:bCs/>
          <w:color w:val="auto"/>
          <w:sz w:val="24"/>
          <w:szCs w:val="32"/>
          <w:highlight w:val="none"/>
          <w:lang w:val="zh-TW" w:eastAsia="zh-TW"/>
        </w:rPr>
        <w:outlineLvl w:val="9"/>
      </w:pPr>
      <w:r>
        <w:rPr>
          <w:rFonts w:hint="eastAsia" w:ascii="宋体" w:hAnsi="宋体" w:eastAsia="宋体" w:cs="宋体"/>
          <w:b/>
          <w:bCs/>
          <w:color w:val="auto"/>
          <w:sz w:val="24"/>
          <w:szCs w:val="32"/>
          <w:highlight w:val="none"/>
          <w:lang w:val="zh-TW" w:eastAsia="zh-TW"/>
        </w:rPr>
        <w:t xml:space="preserve">具体建设需求</w:t>
      </w:r>
      <w:r/>
    </w:p>
    <w:p>
      <w:pPr>
        <w:jc w:val="center"/>
        <w:spacing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无纸化病案平台</w:t>
      </w:r>
      <w:r/>
    </w:p>
    <w:tbl>
      <w:tblPr>
        <w:tblStyle w:val="709"/>
        <w:tblW w:w="8837"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2"/>
        <w:gridCol w:w="1182"/>
        <w:gridCol w:w="7043"/>
      </w:tblGrid>
      <w:tr>
        <w:trPr>
          <w:trHeight w:val="641"/>
        </w:trPr>
        <w:tc>
          <w:tcPr>
            <w:tcW w:w="612"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bookmarkStart w:id="109" w:name="RANGE!A1"/>
            <w:r>
              <w:rPr>
                <w:rFonts w:hint="eastAsia" w:ascii="宋体" w:hAnsi="宋体" w:eastAsia="宋体" w:cs="宋体"/>
                <w:b/>
                <w:bCs/>
                <w:color w:val="auto"/>
                <w:sz w:val="24"/>
                <w:szCs w:val="32"/>
                <w:highlight w:val="none"/>
                <w14:ligatures w14:val="none"/>
              </w:rPr>
              <w:t xml:space="preserve">序号</w:t>
            </w:r>
            <w:bookmarkEnd w:id="109"/>
            <w:r/>
            <w:r/>
          </w:p>
        </w:tc>
        <w:tc>
          <w:tcPr>
            <w:tcW w:w="1182"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模块名称</w:t>
            </w:r>
            <w:r/>
          </w:p>
        </w:tc>
        <w:tc>
          <w:tcPr>
            <w:tcW w:w="7043"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技术参数要求</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技术要求</w:t>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①系统符合国家、卫健委等各种标准和规范，符合医院实际需求。</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②符合电子病历分级评价标准中相关要求。</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③支持工作流程引擎及低代码生成器，系统具备开放性设计，可根据医院实际需求灵活进行应用系统的功能重组与二次开发。</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④系统支持无纸化系统临床科室端及管理端必须采用B/S架构，需保障客户端浏览器的稳定性和兼容性，确保系统运行稳定、使用便捷。</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⑤支持通过灵活配置选择多种数据库类型（如SQL Server、MySQL、Oracle、达梦、人大金仓），所选数据库应具备主流性、稳定性、可靠性、可扩展性及安全性，且无需用户关注不同数据库间的语法差异。</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⑥投标单位所投无纸化产品厂商同时具有国产操作系统兼容认证证书及国产数据库兼容认证证书。</w:t>
            </w:r>
            <w:r/>
          </w:p>
        </w:tc>
      </w:tr>
      <w:tr>
        <w:trPr>
          <w:trHeight w:val="56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2</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安全要求</w:t>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①系统应具备完善的安全机制，支持数据修改全过程监控，提供错误日志和系统运行日志，并包含单点登录、数据签名等安全保障功能。</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②对打印、借阅、查看、登录、锁定、导出等操作进行留痕处理，确保操作可追溯。要求水印可配置，并支持在浏览界面显示配置的水印。</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③数据存储支持服务器存储扩展，文书支持分布式存储。支持病案文书备份可配置，数据备份可进行全量或增量备份，支持按数据库配置备份策略，并可通过备份记录恢复数据。</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3</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系统首页</w:t>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1.管理员</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①提供信息化管理常用菜单快捷入口及监控大屏入口，展示出院人数、采集数量、归档数量等关键指标数据。</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②展示采集服务所在服务器的CPU、内存、存储等使用情况，实时显示接口异常及详细链接，为无纸化归档运行提供直观的管理信息。</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2.病案室用户</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①支持展示病案归档质控、病案查询、借阅审核等病案室常用功能的快捷入口。</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②展示病案管理相关数据，如当日出院人数、采集数量、已归档数量、打印数量等。</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③展示待处理任务信息，如待质控、待借阅审核内容，并支持消息提醒展示。</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3.临床用户</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①支持展示我的责任病案、病案查询、病案标记、病案借阅等常用功能的快捷入口。</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②展示用户所在科室的出院人数、采集数量、已归档及已打印病案数量。</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③展示待处理任务，如待质控、驳回病案待处理内容，并支持消息提醒展示。</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4</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智能采集系统</w:t>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1.接口采集</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通过可视化界面配置HTTP、FTP、Webservice、共享及二进制数据流等方式，对接院内数据集成平台、HIS、LIS、PACS、EMR、手麻、心电、移动护理等系统，自动获取医疗文书及报告，并转换为PDF/OFD格式采集至归档系统。</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②支持采集负载均衡，具备采集任务管理功能，可将采集任务分配至不同采集服务器。</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③支持采集任务优先级调整。可根据患者病情和需求设置任务优先级，支持拖动排序或点击设置优先级，调整后系统自动保存并更新任务列表，按优先级自动分配采集任务，供管理人员和医务人员按序处理。</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④具备采集监控与预警功能，支持配置预警信息通过微信推送给指定用户。</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2.未电子化采集</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①支持通过高拍仪将外院资料及无法无纸化的院内纸质病历翻拍为文件并加密存储，可根据科室自定义必翻拍内容。</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②支持通过移动端拍照上传纸质病历，如外院资料等。</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③支持对上传图片进行智能自动命名，并具备图像识别预处理功能，如模糊识别、非本人病历识别等。</w:t>
            </w:r>
            <w:r/>
          </w:p>
        </w:tc>
      </w:tr>
      <w:tr>
        <w:trPr>
          <w:trHeight w:val="56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5</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单机报告采集系统</w:t>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①支持单机采集，在不改变原有工作方式且不提供单机接口的前提下获取报告文件，支持报告导入与合并，并可通过医嘱对报告进行命名、审核及电子签名。</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②支持诊断与结论模板维护，可对报告文件动态插入诊断和结论模板。</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③对于无法获取报告文件的情况，支持报告模板维护，并可在模板中自动获取患者基础信息，编辑后可直接签名生成报告。</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④单机报告可自动关联对应患者及医嘱信息。</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⑤支持在Word类单机系统中自动插入和编辑页眉页脚，并在报告中自动获取患者基础信息。</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6</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智能检查系统</w:t>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1.文本解析和规则库</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①支持通过打包上传病历（如RAR、ZIP格式）模板，利用机器学习自动解析病历（非人工标注），实现病历全结构化核心内容的自动标注（解析率高于95%），并支持对模板进行人工纠错。</w:t>
            </w:r>
            <w:r/>
          </w:p>
        </w:tc>
      </w:tr>
      <w:tr>
        <w:trPr>
          <w:trHeight w:val="112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文书完整性检查，出科时如存在缺项内容将提示医生护士，并可实时查看完整病案内容。至少包括：A）根据医嘱校验检查、检验缺失；B）文书完整性规则不少于300条，用于判断病案首页、出院记录、病程记录、住院病历、医嘱、体温单是否缺失；C）根据HIS申请单和首页手术信息判断手麻相关提示（如手术、麻醉相关内容）。</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2.终末质检系统</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质检结果管理：病历筛查，可按科室/病区、病历号、患者姓名、入出院日期、主管医生等基本条件查询患者。支持对整份病案进行浏览。至少包括：病历类型、项目类型、评分项、分值、得分、提醒事项等多维度内容展示。</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②可以分别定制首页和整体病案的评分表。可以设置二级分类，分类最大分值。</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③支持人工质控，并对病案进行截图标记。机器和人工相结合。可以根据最新的书写情况对机器质检进行重新质检。分别计算首页和整体病案的评分。</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④质检科医生可以进行驳回操作。通过@相关的责任人进行消息反馈整改流程闭环管理和消息汇总。</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⑤支持对医务人员进行绩效考核扣分和扣分汇总。</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⑥支持质检管理人员定期创建质检抽检任务，并指定任务执行人，然后选择要进行抽查的病案。</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7</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可信归档系统</w:t>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1.病案归档系统</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①归档后的病案符合国家相关法律法规要求，可作为纸质病案的合法替代形式。</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②支持手工归档，可通过多种方式分配任务，并在个人首页便捷展示，支持病案整份联合浏览。</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③支持自动归档，需详细说明在确保病历内容完整准确前提下的自动归档实现机制。</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④针对延迟报告，支持延迟归档管理功能，并具备持续追踪能力。</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⑤支持多版本归档，可对不同版本进行对比，差异内容需在界面中直观展示并标识。</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2.病案提交</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支持完整性校验并锁定业务系统。</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3.病案召回</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支持病案召回申请与审批功能。</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4.缺陷日志管理</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①支持对存在缺陷的病案进行登记、修改与处理。</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②支持通过钉钉、企业微信等方式及时提醒管理人员跟进并处理病案缺陷。</w:t>
            </w:r>
            <w:r/>
          </w:p>
        </w:tc>
      </w:tr>
      <w:tr>
        <w:trPr>
          <w:trHeight w:val="1120"/>
        </w:trPr>
        <w:tc>
          <w:tcPr>
            <w:tcW w:w="612"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8</w:t>
            </w:r>
            <w:r/>
          </w:p>
        </w:tc>
        <w:tc>
          <w:tcPr>
            <w:tcW w:w="1182"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临床文档中心</w:t>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在无纸化病案基础上，基于PDF/OFD标准建设医院临床电子文档库，不依赖特定技术或厂商，支持跨平台、跨设备共享访问，并对外提供统一的文档浏览与调阅系统，具备完整的三方访问日志记录。系统自动生成授权码，第三方通过授权码在授权范围内访问病历，支持全文检索及页面全屏水印安全控制。</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9</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无纸化综合应用系统</w:t>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 病案检索</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①支持经典检索：可通过病案号、姓名、身份证号进行精准查询。</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②支持结构化检索：基于病案首页的结构化数据进行组合查询。</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③支持全文检索，具备类似搜索引擎的效果（含中文语义分词、关键字检索、全病历检索、排除关键字检索），在十万级患者数据下检索响应时间应小于1秒，且可与结构化检索在同一界面中组合使用。</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2.病案借阅</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①病案检索后可通过借阅流程浏览无纸化病案，支持时限控制，到期后自动归还。</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②支持按病案分类借阅，同时支持科室借阅，一人借阅，科室集体浏览。</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bookmarkStart w:id="110" w:name="RANGE!C67"/>
            <w:r>
              <w:rPr>
                <w:rFonts w:hint="eastAsia" w:ascii="宋体" w:hAnsi="宋体" w:eastAsia="宋体" w:cs="宋体"/>
                <w:color w:val="auto"/>
                <w:sz w:val="24"/>
                <w:szCs w:val="32"/>
                <w:highlight w:val="none"/>
                <w14:ligatures w14:val="none"/>
              </w:rPr>
              <w:t xml:space="preserve">③支持脱敏浏览，对病历中的敏感信息进行遮盖显示。</w:t>
            </w:r>
            <w:bookmarkEnd w:id="110"/>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3.病案打印</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①支持窗口打印业务，可读取二代身份证，完成信息登记、证件拍照、按套餐打印，并实现费用计算、收取与核对，支持对公打印。</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②支持多份病案集中打印与收费。</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③窗口打印与线上云病案数据互通，线上预约后无需窗口重复上传凭证。</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④支持对接微信商户平台，通过微信支付打印费用。</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4.病案封存</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①支持在院和离院病历的无纸化封存与解封操作。</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②封存后的病历不可修改、打印、借阅或导出。</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5.病案导出</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①支持按病案分类进行单份或批量导出，导出文件带标签、按国家要求排序，浏览时显示水印。</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②支持加密导出功能，导出文件可设置有效期，并提供独立浏览程序。</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③支持导出含CA签章和时间戳的PDF/OFD文件，具备可信验证能力。</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④支持自动导出国家卫健委要求上传的死亡及非医嘱离院患者的PDF/OFD全病案，并按规范排版。</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6.查询统计</w:t>
            </w:r>
            <w:r/>
          </w:p>
        </w:tc>
      </w:tr>
      <w:tr>
        <w:trPr>
          <w:trHeight w:val="84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①支持病案未归档统计、科室打印统计、病案扫描纸张统计、归档量统计，可按科室、主治医师进行统计，包含出院患者病历2日、3日、7日归档率及未归档情况统计，并支持导出为Excel格式。</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②归档统计支持智能过滤节假日。</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③支持对报表进行定制化开发。</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7.病案抽检</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①支持多种方式抽检病案，抽检任务同步至个人工作任务首页。</w:t>
            </w:r>
            <w:r/>
          </w:p>
        </w:tc>
      </w:tr>
      <w:tr>
        <w:trPr>
          <w:trHeight w:val="84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10</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数据可视化平台</w:t>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①通过统一的可视化数据看板，监控病案无纸化归档相关各项指标，包括出院患者情况、病历采集情况、归档情况、自助打印情况、互联网应用情况、数据库及服务器运行情况等。</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②支持可视化数据配置，可通过配置界面自定义数据内容及展示方式，发布后实时同步至数据看板。</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11</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病案互联网综合应用系统</w:t>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w:t>
            </w:r>
            <w:r>
              <w:rPr>
                <w:rFonts w:hint="eastAsia" w:ascii="宋体" w:hAnsi="宋体" w:eastAsia="宋体" w:cs="宋体"/>
                <w:b/>
                <w:bCs/>
                <w:color w:val="auto"/>
                <w:sz w:val="24"/>
                <w:szCs w:val="32"/>
                <w:highlight w:val="none"/>
                <w:lang w:val="en-US" w:eastAsia="zh-CN"/>
                <w14:ligatures w14:val="none"/>
              </w:rPr>
              <w:t xml:space="preserve">线上</w:t>
            </w:r>
            <w:r>
              <w:rPr>
                <w:rFonts w:hint="eastAsia" w:ascii="宋体" w:hAnsi="宋体" w:eastAsia="宋体" w:cs="宋体"/>
                <w:b/>
                <w:bCs/>
                <w:color w:val="auto"/>
                <w:sz w:val="24"/>
                <w:szCs w:val="32"/>
                <w:highlight w:val="none"/>
                <w14:ligatures w14:val="none"/>
              </w:rPr>
              <w:t xml:space="preserve">病案</w:t>
            </w:r>
            <w:r/>
          </w:p>
        </w:tc>
      </w:tr>
      <w:tr>
        <w:trPr>
          <w:trHeight w:val="112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预约自提、邮寄登记，可由本人办理或他人代办。支持人脸识别及人证核验，系统可对接快递公司和发票平台。病案室可审核微信端提交的预约信息，查看患者信息、身份信息及订单信息，并进行审核、费用催缴等操作。支持对接微信商户平台，通过微信支付邮寄、打印等相关费用。</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②支持像下载电子发票一样下载带电子章的病案。</w:t>
            </w:r>
            <w:r/>
          </w:p>
        </w:tc>
      </w:tr>
      <w:tr>
        <w:trPr>
          <w:trHeight w:val="9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③支持微信小程序和微信公众号两种使用模式，供用户自主选择。</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2.无纸化移动端</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①支持通过微信向相关人员推送归档日报信息。</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②支持在移动端进行病历借阅与审批操作。</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③支持通过手机端实时查看患者病历，可通过企业微信、公众号等方式访问。</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④医生仅可浏览本人负责的病历，浏览界面显示水印且支持配置。</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12</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消息平台</w:t>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①具备消息平台，支持管理员下发通知，移动端可接收消息。</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②支持短信、钉钉、企业微信、微信公众号等多种消息推送方式。</w:t>
            </w:r>
            <w:r/>
          </w:p>
        </w:tc>
      </w:tr>
      <w:tr>
        <w:trPr>
          <w:trHeight w:val="56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③支持推送套餐管理，管理员可自定义推送模板，设置多种变量字符，支持修改或新增套餐内容。</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④支持多种推送方式的数据维护，可直接新增配置地址并发布使用。</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⑤支持查看消息推送日志及失败日志，并可查看详情。</w:t>
            </w:r>
            <w:r/>
          </w:p>
        </w:tc>
      </w:tr>
      <w:tr>
        <w:trPr>
          <w:trHeight w:val="280"/>
        </w:trPr>
        <w:tc>
          <w:tcPr>
            <w:tcW w:w="61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13</w:t>
            </w:r>
            <w:r/>
          </w:p>
        </w:tc>
        <w:tc>
          <w:tcPr>
            <w:tcW w:w="1182" w:type="dxa"/>
            <w:vAlign w:val="center"/>
            <w:vMerge w:val="restart"/>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无纸化病案示踪系统</w:t>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①支持医护人员对出院病案中的纸质病历进行标记和数量登记，病案室可进行核对。</w:t>
            </w:r>
            <w:r/>
          </w:p>
        </w:tc>
      </w:tr>
      <w:tr>
        <w:trPr>
          <w:trHeight w:val="280"/>
        </w:trPr>
        <w:tc>
          <w:tcPr>
            <w:tcW w:w="61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182"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704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②支持双密码管理。</w:t>
            </w:r>
            <w:r/>
          </w:p>
        </w:tc>
      </w:tr>
    </w:tbl>
    <w:p>
      <w:pPr>
        <w:jc w:val="center"/>
        <w:spacing w:before="0" w:after="0"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患者签名系统</w:t>
      </w:r>
      <w:r/>
    </w:p>
    <w:p>
      <w:pPr>
        <w:jc w:val="center"/>
        <w:spacing w:before="0" w:after="0"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患者手写电子签名系统</w:t>
      </w:r>
      <w:r/>
    </w:p>
    <w:tbl>
      <w:tblPr>
        <w:tblStyle w:val="709"/>
        <w:tblW w:w="930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153"/>
        <w:gridCol w:w="7528"/>
      </w:tblGrid>
      <w:tr>
        <w:trPr>
          <w:trHeight w:val="641"/>
        </w:trPr>
        <w:tc>
          <w:tcPr>
            <w:tcW w:w="619"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序号</w:t>
            </w:r>
            <w:r/>
          </w:p>
        </w:tc>
        <w:tc>
          <w:tcPr>
            <w:tcW w:w="1153"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模块名称</w:t>
            </w:r>
            <w:r/>
          </w:p>
        </w:tc>
        <w:tc>
          <w:tcPr>
            <w:tcW w:w="7528"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技术参数要求</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患者查询</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支持查询有签署业务的患者信息，包括患者基本信息、患者签署文件记录、患者实名认证记录、关联家属记录；</w:t>
            </w:r>
            <w:r/>
          </w:p>
        </w:tc>
      </w:tr>
      <w:tr>
        <w:trPr>
          <w:trHeight w:val="28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2</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家属查询</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支持查询有签署业务的家属基本信息、关联患者信息、与患者关系等内容；</w:t>
            </w:r>
            <w:r/>
          </w:p>
        </w:tc>
      </w:tr>
      <w:tr>
        <w:trPr>
          <w:trHeight w:val="28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3</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实名认证</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支持实名认证，能够通过 H5 页面、微信小程序等终端对患者进行实名认证；</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4</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数字证书签发</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支持用户移动实名认证后在线签发第三方 CA机构数字证书；</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5</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签名终端设备管理</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支持患者签名终端管理，可以查看正在使用的签名屏设备编号、设备名称、系统版本、登记时间、使用状态、当前绑定医护人员、；</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6</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数字签名算法支持</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支持国家标准的 SM2 等算法，支持按照国家电子签章技术规范对患者医疗文书电子签名和验证；</w:t>
            </w:r>
            <w:r/>
          </w:p>
        </w:tc>
      </w:tr>
      <w:tr>
        <w:trPr>
          <w:trHeight w:val="84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7</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患者文书签署管理</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提供患者文书签署记录存储、查询、浏览等管理功能，保存所有业务系统请求并产生的患者文书电子签名记录，包括来源系统、业务编号、文件名称、签署人员、签署时间、签名文件、签署状态等信息。提供文件内容浏览、文件查验、文件下载等功能；</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8</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文书模版管理</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提供文书模板配置，可以修改模版内容、模板关键字段，支持PDF、HTML等格式的文书模版，可以使用模版创建医疗文书；</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9</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时间戳服务对接</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支持对接时间戳服务，获取符合国家标准的时间戳；</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10</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日志管理与审计</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提供日志管理功能，可以查询和管理登录日志、签名日志、数据维护日志等；</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11</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患者/家属预认证</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提供患者/家属预认证流程，支持集成医院公众号，通过微信消息通知患者/家属签署文件；</w:t>
            </w:r>
            <w:r/>
          </w:p>
        </w:tc>
      </w:tr>
      <w:tr>
        <w:trPr>
          <w:trHeight w:val="560"/>
        </w:trPr>
        <w:tc>
          <w:tcPr>
            <w:tcW w:w="619" w:type="dxa"/>
            <w:vAlign w:val="center"/>
            <w:textDirection w:val="lrTb"/>
            <w:noWrap w:val="false"/>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12</w:t>
            </w:r>
            <w:r/>
          </w:p>
        </w:tc>
        <w:tc>
          <w:tcPr>
            <w:tcW w:w="1153"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短信通知签署提醒</w:t>
            </w:r>
            <w:r/>
          </w:p>
        </w:tc>
        <w:tc>
          <w:tcPr>
            <w:tcW w:w="7528"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支持通过医生、护士在签名终端/小程序中发送短信通知患者/家属签署文件。</w:t>
            </w:r>
            <w:r/>
          </w:p>
        </w:tc>
      </w:tr>
    </w:tbl>
    <w:p>
      <w:pPr>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签名屏APP软件</w:t>
      </w:r>
      <w:r/>
    </w:p>
    <w:tbl>
      <w:tblPr>
        <w:tblStyle w:val="709"/>
        <w:tblW w:w="928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172"/>
        <w:gridCol w:w="7500"/>
      </w:tblGrid>
      <w:tr>
        <w:trPr>
          <w:trHeight w:val="610"/>
        </w:trPr>
        <w:tc>
          <w:tcPr>
            <w:tcW w:w="609"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序号</w:t>
            </w:r>
            <w:r/>
          </w:p>
        </w:tc>
        <w:tc>
          <w:tcPr>
            <w:tcW w:w="1172"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模块名称</w:t>
            </w:r>
            <w:r/>
          </w:p>
        </w:tc>
        <w:tc>
          <w:tcPr>
            <w:tcW w:w="7500"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技术参数要求</w:t>
            </w:r>
            <w:r/>
          </w:p>
        </w:tc>
      </w:tr>
      <w:tr>
        <w:trPr>
          <w:trHeight w:val="84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与院内电子签名系统对接</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能够与部署在院内的电子签名系统对接，获取待签名的电子病历、住院单据、知情同意书等电子文件；</w:t>
            </w:r>
            <w:r/>
          </w:p>
        </w:tc>
      </w:tr>
      <w:tr>
        <w:trPr>
          <w:trHeight w:val="84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文书内容浏览与调整</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可以在APP内浏览文书内容，支持文件内容放大缩小；</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3</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手写签字采集</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支持采集医护人员和病人的手写签字，能够把签字附加到待签名文件中；</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4</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指纹采集与验证</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支持通过签名终端的指纹模块，采集病人的指纹印模，能够把指纹附加到待签名文件中；</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5</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签署记录管理</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能够按账户查看已经签署过的电子文件记录信息；</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6</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患者批量签署</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支持患者文书批量签署，并强制要求患者阅读完所有文书后方可批量签署。</w:t>
            </w:r>
            <w:r/>
          </w:p>
        </w:tc>
      </w:tr>
      <w:tr>
        <w:trPr>
          <w:trHeight w:val="84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7</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家属/代理人签名支持</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支持家属/代理人签名，在签署页面支持添加签署角色并完成身份认证及签署流程，支持OCR识别身份证快速录入患者家属信息。</w:t>
            </w:r>
            <w:r/>
          </w:p>
        </w:tc>
      </w:tr>
      <w:tr>
        <w:trPr>
          <w:trHeight w:val="84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8</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录音功能强化证据链</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支持谈话过程录音功能，录音文件与文件一同签名存档，增强签名证据链。</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9</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实时签署进度监控</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支持查看文书签署进度，实时管理文书签署流程。</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10</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强制阅读后签署</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支持强制阅读后签署，可自定义设置文书阅读时间，要求浏览到文件底部才可进行下一步签名。</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11</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知晓确认声明</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支持知晓内容声明，提供患者确认声明流程。</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12</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支持文字输入</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支持手写输入文字及键盘输入相关信息，插入待签名文件中。</w:t>
            </w:r>
            <w:r/>
          </w:p>
        </w:tc>
      </w:tr>
      <w:tr>
        <w:trPr>
          <w:trHeight w:val="560"/>
        </w:trPr>
        <w:tc>
          <w:tcPr>
            <w:tcW w:w="609"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13</w:t>
            </w:r>
            <w:r/>
          </w:p>
        </w:tc>
        <w:tc>
          <w:tcPr>
            <w:tcW w:w="1172" w:type="dxa"/>
            <w:vAlign w:val="center"/>
            <w:textDirection w:val="lrTb"/>
            <w:noWrap w:val="false"/>
          </w:tcPr>
          <w:p>
            <w:pPr>
              <w:ind w:firstLine="0"/>
              <w:jc w:val="left"/>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签名终端管理</w:t>
            </w:r>
            <w:r/>
          </w:p>
        </w:tc>
        <w:tc>
          <w:tcPr>
            <w:tcW w:w="7500" w:type="dxa"/>
            <w:vAlign w:val="center"/>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支持签名终端管理，实时监控网络、电量状态、辅助医护日常操作。</w:t>
            </w:r>
            <w:r/>
          </w:p>
        </w:tc>
      </w:tr>
    </w:tbl>
    <w:p>
      <w:pPr>
        <w:jc w:val="center"/>
        <w:spacing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系统改造</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HIS系统改造</w:t>
      </w:r>
      <w:r/>
    </w:p>
    <w:p>
      <w:pPr>
        <w:pStyle w:val="750"/>
        <w:ind w:left="0"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1)出院结算改造：</w:t>
      </w:r>
      <w:r/>
    </w:p>
    <w:p>
      <w:pPr>
        <w:pStyle w:val="750"/>
        <w:ind w:left="0"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出院结算时自动触发“病案归档准备”状态，生成待归档病案任务清单</w:t>
      </w:r>
      <w:r/>
    </w:p>
    <w:p>
      <w:pPr>
        <w:pStyle w:val="750"/>
        <w:ind w:left="0"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2)状态跟踪看板：</w:t>
      </w:r>
      <w:r/>
    </w:p>
    <w:p>
      <w:pPr>
        <w:pStyle w:val="750"/>
        <w:ind w:left="0"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实时显示病案各环节完成状态，预警超时未完成环节</w:t>
      </w:r>
      <w:r/>
    </w:p>
    <w:p>
      <w:pPr>
        <w:pStyle w:val="750"/>
        <w:ind w:left="0"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3)接口改造</w:t>
      </w:r>
      <w:r/>
    </w:p>
    <w:p>
      <w:pPr>
        <w:pStyle w:val="750"/>
        <w:ind w:left="0" w:firstLine="48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增加与电子签名系统的认证接口，提供病案基本信息给归档系统，接收归档完成状态，更新HIS病案状态。</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住院医生站系统改造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医生站可随时调阅病案归档看板，查看病案归档记录进程；</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会诊单自动生成pdf电子化文档，对接CA系统，更新签名时间戳；</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特殊级抗生素会诊单自动生成pdf电子化文档，对接CA系统改造，调用CA系统，更新签名时间戳。</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电子检验申请单自动生成pdf电子化文档，对接CA系统，更新签名时间戳；</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电子检查申请单自动生成pdf电子化文档，对接CA系统，更新签名时间戳；</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电子病理申请单自动生成pdf电子化文档，对接CA系统，更新签名时间戳；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住院电子病历系统</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病案首页改造，归档时生成pdf电子化文档，对接CA系统，更新签名时间戳，签名任务推送到各医师手机端；</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住院病程、入院记录、出院记录、手术记录、术前讨论、疑难病历讨论、术前小结等住院病历改造，归档时生成pdf电子化文档，对接CA系统，更新签名时间戳，签名任务推送到各医师手机端；</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各类知情同意书改造，签名时，推送信息到患者屏端电子签名系统，患者签名后，自动生成pdf文件；</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病区护士站系统改造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医嘱打印改造，归档时生成pdf电子化文档，对接CA系统，更新签名时间戳；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护理病历系统改造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护理体温单、一般护理记录单、入院护理评估单等各类护理表单，归档时生成pdf电子化文档，对接CA系统，更新签名时间戳；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急诊系统改造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急诊知情同意书、留观记录单、会诊记录单等各类急诊表单，归档时生成pdf电子化文档，对接CA系统，更新签名时间戳；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手麻系统改造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麻醉知情同意书、术前访视与评估单、麻醉记录单、手术安全核查单、麻醉恢复室(PACU)记录单、术后访视单、麻醉总结等各类手麻表单，归档时生成pdf电子化文档，对接CA系统，更新签名时间戳；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LIS系统改造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检验报告单、危急值报告等各类检验报告，归档时生成pdf电子化文档，对接CA系统，更新签名时间戳；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PACS系统改造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影像诊断报告单、危急值报告等各类检查报告，归档时生成pdf电子化文档，对接CA系统，更新签名时间戳；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重症系统改造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ICU转入记录/接收记录、ICU护理记录单、ICU特殊操作记录单、ICU转出记录/交接单等各类重症系统表单，归档时生成pdf电子化文档，对接CA系统，更新签名时间戳；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血糖系统改造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血糖记录单等各类血糖系统表单，归档时生成pdf电子化文档，对接CA系统，更新签名时间戳；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血透系统改造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透析治疗记录单、血管通路评估单等各类血透系统表单，归档时生成pdf电子化文档，对接CA系统，更新签名时间戳；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VTE系统改造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VTE风险评估表 (如Caprini/ Padua评分)、出血风险评估表等各类VTE系统表单，归档时生成pdf电子化文档，对接CA系统，更新签名时间戳；</w:t>
      </w:r>
      <w:r/>
    </w:p>
    <w:p>
      <w:pPr>
        <w:pStyle w:val="750"/>
        <w:numPr>
          <w:ilvl w:val="0"/>
          <w:numId w:val="4"/>
        </w:numPr>
        <w:contextualSpacing w:val="0"/>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病案翻拍系统改造</w:t>
      </w:r>
      <w:r/>
    </w:p>
    <w:p>
      <w:pPr>
        <w:pStyle w:val="750"/>
        <w:ind w:left="442" w:firstLine="397"/>
        <w:spacing w:line="360" w:lineRule="auto"/>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对接高拍仪，由归档人员将病区未电子化模块全部翻拍进入到翻拍系统，对接无纸化病案系统，完成手工单据的无纸化。</w:t>
      </w:r>
      <w:r/>
    </w:p>
    <w:p>
      <w:pPr>
        <w:jc w:val="center"/>
        <w:spacing w:before="0" w:after="0"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配套硬件</w:t>
      </w:r>
      <w:r/>
    </w:p>
    <w:p>
      <w:pPr>
        <w:jc w:val="center"/>
        <w:spacing w:before="0" w:after="0"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高拍仪（不带身份证）</w:t>
      </w:r>
      <w:r/>
    </w:p>
    <w:tbl>
      <w:tblPr>
        <w:tblStyle w:val="709"/>
        <w:tblW w:w="8480"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490"/>
        <w:gridCol w:w="6233"/>
      </w:tblGrid>
      <w:tr>
        <w:trPr>
          <w:trHeight w:val="610"/>
        </w:trPr>
        <w:tc>
          <w:tcPr>
            <w:tcW w:w="757"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序号</w:t>
            </w:r>
            <w:r/>
          </w:p>
        </w:tc>
        <w:tc>
          <w:tcPr>
            <w:tcW w:w="1490"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模块名称</w:t>
            </w:r>
            <w:r/>
          </w:p>
        </w:tc>
        <w:tc>
          <w:tcPr>
            <w:tcW w:w="6233"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硬件参数要求</w:t>
            </w:r>
            <w:r/>
          </w:p>
        </w:tc>
      </w:tr>
      <w:tr>
        <w:trPr>
          <w:trHeight w:val="280"/>
        </w:trPr>
        <w:tc>
          <w:tcPr>
            <w:tcW w:w="757" w:type="dxa"/>
            <w:vAlign w:val="center"/>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1</w:t>
            </w:r>
            <w:r/>
          </w:p>
        </w:tc>
        <w:tc>
          <w:tcPr>
            <w:tcW w:w="1490" w:type="dxa"/>
            <w:vAlign w:val="center"/>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数量</w:t>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2</w:t>
            </w:r>
            <w:r>
              <w:rPr>
                <w:rFonts w:hint="eastAsia" w:ascii="宋体" w:hAnsi="宋体" w:eastAsia="宋体" w:cs="宋体"/>
                <w:color w:val="auto"/>
                <w:sz w:val="24"/>
                <w:szCs w:val="32"/>
                <w:highlight w:val="none"/>
                <w:lang w:val="en-US" w:eastAsia="zh-CN"/>
                <w14:ligatures w14:val="none"/>
              </w:rPr>
              <w:t xml:space="preserve">8</w:t>
            </w:r>
            <w:r>
              <w:rPr>
                <w:rFonts w:hint="eastAsia" w:ascii="宋体" w:hAnsi="宋体" w:eastAsia="宋体" w:cs="宋体"/>
                <w:color w:val="auto"/>
                <w:sz w:val="24"/>
                <w:szCs w:val="32"/>
                <w:highlight w:val="none"/>
                <w14:ligatures w14:val="none"/>
              </w:rPr>
              <w:t xml:space="preserve">台（用于科室人工采集）</w:t>
            </w:r>
            <w:r/>
          </w:p>
        </w:tc>
      </w:tr>
      <w:tr>
        <w:trPr>
          <w:trHeight w:val="280"/>
        </w:trPr>
        <w:tc>
          <w:tcPr>
            <w:tcW w:w="757" w:type="dxa"/>
            <w:vAlign w:val="center"/>
            <w:vMerge w:val="restart"/>
            <w:textDirection w:val="lrTb"/>
            <w:noWrap/>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2</w:t>
            </w:r>
            <w:r/>
          </w:p>
        </w:tc>
        <w:tc>
          <w:tcPr>
            <w:tcW w:w="1490"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32"/>
                <w:highlight w:val="none"/>
                <w14:ligatures w14:val="none"/>
              </w:rPr>
              <w:outlineLvl w:val="9"/>
            </w:pPr>
            <w:r>
              <w:rPr>
                <w:rFonts w:hint="eastAsia" w:ascii="宋体" w:hAnsi="宋体" w:eastAsia="宋体" w:cs="宋体"/>
                <w:b/>
                <w:bCs/>
                <w:color w:val="auto"/>
                <w:sz w:val="24"/>
                <w:szCs w:val="32"/>
                <w:highlight w:val="none"/>
                <w14:ligatures w14:val="none"/>
              </w:rPr>
              <w:t xml:space="preserve">高拍仪（不带身份证）</w:t>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①摄像头：≥500万像素，画幅≥A4</w:t>
            </w:r>
            <w:r/>
          </w:p>
        </w:tc>
      </w:tr>
      <w:tr>
        <w:trPr>
          <w:trHeight w:val="560"/>
        </w:trPr>
        <w:tc>
          <w:tcPr>
            <w:tcW w:w="757" w:type="dxa"/>
            <w:vAlign w:val="center"/>
            <w:vMerge w:val="continue"/>
            <w:textDirection w:val="lrTb"/>
            <w:noWrap/>
          </w:tcPr>
          <w:p>
            <w:pPr>
              <w:ind w:firstLine="480"/>
              <w:jc w:val="center"/>
              <w:spacing w:line="360" w:lineRule="auto"/>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490"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②拍摄幅面可设置：A4、A5、身份证、自动寻边、鼠标框选等,支持证件双面拍摄后合并为一张图像</w:t>
            </w:r>
            <w:r/>
          </w:p>
        </w:tc>
      </w:tr>
      <w:tr>
        <w:trPr>
          <w:trHeight w:val="280"/>
        </w:trPr>
        <w:tc>
          <w:tcPr>
            <w:tcW w:w="757" w:type="dxa"/>
            <w:vAlign w:val="center"/>
            <w:vMerge w:val="continue"/>
            <w:textDirection w:val="lrTb"/>
            <w:noWrap/>
          </w:tcPr>
          <w:p>
            <w:pPr>
              <w:ind w:firstLine="480"/>
              <w:jc w:val="center"/>
              <w:spacing w:line="360" w:lineRule="auto"/>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490"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③拍摄速度≤1秒</w:t>
            </w:r>
            <w:r/>
          </w:p>
        </w:tc>
      </w:tr>
      <w:tr>
        <w:trPr>
          <w:trHeight w:val="280"/>
        </w:trPr>
        <w:tc>
          <w:tcPr>
            <w:tcW w:w="757" w:type="dxa"/>
            <w:vAlign w:val="center"/>
            <w:vMerge w:val="continue"/>
            <w:textDirection w:val="lrTb"/>
            <w:noWrap/>
          </w:tcPr>
          <w:p>
            <w:pPr>
              <w:ind w:firstLine="480"/>
              <w:jc w:val="center"/>
              <w:spacing w:line="360" w:lineRule="auto"/>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490"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④图片大小:彩色≤300K；黑白≤60K</w:t>
            </w:r>
            <w:r/>
          </w:p>
        </w:tc>
      </w:tr>
      <w:tr>
        <w:trPr>
          <w:trHeight w:val="560"/>
        </w:trPr>
        <w:tc>
          <w:tcPr>
            <w:tcW w:w="757" w:type="dxa"/>
            <w:vAlign w:val="center"/>
            <w:vMerge w:val="continue"/>
            <w:textDirection w:val="lrTb"/>
            <w:noWrap/>
          </w:tcPr>
          <w:p>
            <w:pPr>
              <w:ind w:firstLine="480"/>
              <w:jc w:val="center"/>
              <w:spacing w:line="360" w:lineRule="auto"/>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490"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⑤无肉眼可识别的闪烁、波纹、噪点等、常规光线变化不影响图片质量，自动压缩反光点。</w:t>
            </w:r>
            <w:r/>
          </w:p>
        </w:tc>
      </w:tr>
      <w:tr>
        <w:trPr>
          <w:trHeight w:val="280"/>
        </w:trPr>
        <w:tc>
          <w:tcPr>
            <w:tcW w:w="757" w:type="dxa"/>
            <w:vAlign w:val="center"/>
            <w:vMerge w:val="continue"/>
            <w:textDirection w:val="lrTb"/>
            <w:noWrap/>
          </w:tcPr>
          <w:p>
            <w:pPr>
              <w:ind w:firstLine="480"/>
              <w:jc w:val="center"/>
              <w:spacing w:line="360" w:lineRule="auto"/>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490"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⑥二次开发接口DEMO/API/SDK，支持去黑边，去黑点等。和无纸化系统能够深度兼容。</w:t>
            </w:r>
            <w:r/>
          </w:p>
        </w:tc>
      </w:tr>
      <w:tr>
        <w:trPr>
          <w:trHeight w:val="280"/>
        </w:trPr>
        <w:tc>
          <w:tcPr>
            <w:tcW w:w="757" w:type="dxa"/>
            <w:vAlign w:val="center"/>
            <w:vMerge w:val="continue"/>
            <w:textDirection w:val="lrTb"/>
            <w:noWrap/>
          </w:tcPr>
          <w:p>
            <w:pPr>
              <w:ind w:firstLine="0"/>
              <w:jc w:val="center"/>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1490" w:type="dxa"/>
            <w:vAlign w:val="center"/>
            <w:vMerge w:val="continue"/>
            <w:textDirection w:val="lrTb"/>
            <w:noWrap w:val="false"/>
          </w:tcPr>
          <w:p>
            <w:pPr>
              <w:ind w:firstLine="0"/>
              <w:jc w:val="left"/>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r>
            <w:r/>
          </w:p>
        </w:tc>
        <w:tc>
          <w:tcPr>
            <w:tcW w:w="6233" w:type="dxa"/>
            <w:vAlign w:val="center"/>
            <w:textDirection w:val="lrTb"/>
            <w:noWrap w:val="false"/>
          </w:tcPr>
          <w:p>
            <w:pPr>
              <w:ind w:firstLine="0"/>
              <w:spacing w:line="360" w:lineRule="auto"/>
              <w:widowControl/>
              <w:rPr>
                <w:rFonts w:hint="eastAsia" w:ascii="宋体" w:hAnsi="宋体" w:eastAsia="宋体" w:cs="宋体"/>
                <w:color w:val="auto"/>
                <w:sz w:val="24"/>
                <w:szCs w:val="32"/>
                <w:highlight w:val="none"/>
                <w14:ligatures w14:val="none"/>
              </w:rPr>
              <w:outlineLvl w:val="9"/>
            </w:pPr>
            <w:r>
              <w:rPr>
                <w:rFonts w:hint="eastAsia" w:ascii="宋体" w:hAnsi="宋体" w:eastAsia="宋体" w:cs="宋体"/>
                <w:color w:val="auto"/>
                <w:sz w:val="24"/>
                <w:szCs w:val="32"/>
                <w:highlight w:val="none"/>
                <w14:ligatures w14:val="none"/>
              </w:rPr>
              <w:t xml:space="preserve">需提供相关证书进行产品专业性佐证。</w:t>
            </w:r>
            <w:r/>
          </w:p>
        </w:tc>
      </w:tr>
    </w:tbl>
    <w:p>
      <w:pPr>
        <w:ind w:firstLine="0"/>
        <w:jc w:val="center"/>
        <w:spacing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r>
      <w:r/>
    </w:p>
    <w:p>
      <w:pPr>
        <w:jc w:val="center"/>
        <w:spacing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智能电子签名屏（无线）</w:t>
      </w:r>
      <w:r/>
    </w:p>
    <w:tbl>
      <w:tblPr>
        <w:tblStyle w:val="927"/>
        <w:tblW w:w="8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1"/>
        <w:gridCol w:w="1680"/>
        <w:gridCol w:w="6178"/>
      </w:tblGrid>
      <w:tr>
        <w:trPr>
          <w:trHeight w:val="359"/>
        </w:trPr>
        <w:tc>
          <w:tcPr>
            <w:tcW w:w="701" w:type="dxa"/>
            <w:textDirection w:val="lrTb"/>
            <w:noWrap w:val="false"/>
          </w:tcPr>
          <w:p>
            <w:pPr>
              <w:pStyle w:val="932"/>
              <w:ind w:right="157"/>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序号</w:t>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硬件模块</w:t>
            </w:r>
            <w:r/>
          </w:p>
        </w:tc>
        <w:tc>
          <w:tcPr>
            <w:tcW w:w="6178"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硬件参数要求</w:t>
            </w:r>
            <w:r/>
          </w:p>
        </w:tc>
      </w:tr>
      <w:tr>
        <w:trPr>
          <w:trHeight w:val="506"/>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zh-CN"/>
              </w:rPr>
              <w:t xml:space="preserve">数量</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台</w:t>
            </w:r>
            <w:r/>
          </w:p>
        </w:tc>
      </w:tr>
      <w:tr>
        <w:trPr>
          <w:trHeight w:val="870"/>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vAlign w:val="center"/>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zh-CN"/>
              </w:rPr>
              <w:t xml:space="preserve">部署位置</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医生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23台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+护士（25台）+CCU(1台)+RICU(1台)+NSICU(1台)</w:t>
            </w:r>
            <w:r>
              <w:rPr>
                <w:rFonts w:hint="eastAsia" w:ascii="宋体" w:hAnsi="宋体" w:eastAsia="宋体" w:cs="宋体"/>
                <w:color w:val="auto"/>
                <w:sz w:val="24"/>
                <w:szCs w:val="24"/>
                <w:highlight w:val="none"/>
                <w:lang w:eastAsia="zh-CN"/>
              </w:rPr>
              <w:t xml:space="preserve">根据实际所需科室进行调整</w:t>
            </w:r>
            <w:r/>
          </w:p>
        </w:tc>
      </w:tr>
      <w:tr>
        <w:trPr>
          <w:trHeight w:val="486"/>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处理器</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eastAsia="en-US"/>
              </w:rPr>
              <w:t xml:space="preserve">核、2.0Ghz</w:t>
            </w:r>
            <w:r/>
          </w:p>
        </w:tc>
      </w:tr>
      <w:tr>
        <w:trPr>
          <w:trHeight w:val="424"/>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内存</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4GB或以上;</w:t>
            </w:r>
            <w:r/>
          </w:p>
        </w:tc>
      </w:tr>
      <w:tr>
        <w:trPr>
          <w:trHeight w:val="490"/>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EMMC</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64GB或以上;</w:t>
            </w:r>
            <w:r/>
          </w:p>
        </w:tc>
      </w:tr>
      <w:tr>
        <w:trPr>
          <w:trHeight w:val="556"/>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摄像头</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前后双摄≥500+</w:t>
            </w: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lang w:eastAsia="en-US"/>
              </w:rPr>
              <w:t xml:space="preserve">00万;</w:t>
            </w:r>
            <w:r/>
          </w:p>
        </w:tc>
      </w:tr>
      <w:tr>
        <w:trPr>
          <w:trHeight w:val="367"/>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系统</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Android</w:t>
            </w:r>
            <w:r>
              <w:rPr>
                <w:rFonts w:hint="eastAsia" w:ascii="宋体" w:hAnsi="宋体" w:eastAsia="宋体" w:cs="宋体"/>
                <w:color w:val="auto"/>
                <w:sz w:val="24"/>
                <w:szCs w:val="24"/>
                <w:highlight w:val="none"/>
                <w:lang w:eastAsia="zh-CN"/>
              </w:rPr>
              <w:t xml:space="preserve">/鸿蒙</w:t>
            </w:r>
            <w:r>
              <w:rPr>
                <w:rFonts w:hint="eastAsia" w:ascii="宋体" w:hAnsi="宋体" w:eastAsia="宋体" w:cs="宋体"/>
                <w:color w:val="auto"/>
                <w:sz w:val="24"/>
                <w:szCs w:val="24"/>
                <w:highlight w:val="none"/>
                <w:lang w:eastAsia="en-US"/>
              </w:rPr>
              <w:t xml:space="preserve">;</w:t>
            </w:r>
            <w:r/>
          </w:p>
        </w:tc>
      </w:tr>
      <w:tr>
        <w:trPr>
          <w:trHeight w:val="717"/>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vAlign w:val="center"/>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连接</w:t>
            </w:r>
            <w:r/>
          </w:p>
        </w:tc>
        <w:tc>
          <w:tcPr>
            <w:tcW w:w="6178"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无需连接电脑，支持通过移动网络或WIFI连接使用；</w:t>
            </w:r>
            <w:r/>
          </w:p>
        </w:tc>
      </w:tr>
      <w:tr>
        <w:trPr>
          <w:trHeight w:val="474"/>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显示屏</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≥10英寸;</w:t>
            </w:r>
            <w:r/>
          </w:p>
        </w:tc>
      </w:tr>
      <w:tr>
        <w:trPr>
          <w:trHeight w:val="727"/>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分辨率</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≥1200*1920 支持手写;</w:t>
            </w:r>
            <w:r/>
          </w:p>
        </w:tc>
      </w:tr>
      <w:tr>
        <w:trPr>
          <w:trHeight w:val="416"/>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触摸屏</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多点触控;</w:t>
            </w:r>
            <w:r/>
          </w:p>
        </w:tc>
      </w:tr>
      <w:tr>
        <w:trPr>
          <w:trHeight w:val="727"/>
        </w:trPr>
        <w:tc>
          <w:tcPr>
            <w:tcW w:w="701" w:type="dxa"/>
            <w:textDirection w:val="lrTb"/>
            <w:noWrap w:val="false"/>
          </w:tcPr>
          <w:p>
            <w:pPr>
              <w:pStyle w:val="932"/>
              <w:numPr>
                <w:ilvl w:val="0"/>
                <w:numId w:val="5"/>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zh-CN"/>
              </w:rPr>
              <w:t xml:space="preserve">商密资质</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所投产品需具备《商用密码产品认证证书》</w:t>
            </w:r>
            <w:r/>
          </w:p>
        </w:tc>
      </w:tr>
      <w:tr>
        <w:trPr>
          <w:trHeight w:val="468"/>
        </w:trPr>
        <w:tc>
          <w:tcPr>
            <w:tcW w:w="701" w:type="dxa"/>
            <w:textDirection w:val="lrTb"/>
            <w:noWrap w:val="false"/>
          </w:tcPr>
          <w:p>
            <w:pPr>
              <w:pStyle w:val="932"/>
              <w:ind w:left="8"/>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b/>
                <w:bCs/>
                <w:color w:val="auto"/>
                <w:sz w:val="24"/>
                <w:szCs w:val="24"/>
                <w:highlight w:val="none"/>
                <w:lang w:eastAsia="en-US"/>
              </w:rPr>
              <w:t xml:space="preserve">序号</w:t>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zh-CN"/>
              </w:rPr>
              <w:t xml:space="preserve">密码芯片</w:t>
            </w:r>
            <w:r/>
          </w:p>
        </w:tc>
        <w:tc>
          <w:tcPr>
            <w:tcW w:w="6178"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密码芯片要求</w:t>
            </w:r>
            <w:r/>
          </w:p>
        </w:tc>
      </w:tr>
      <w:tr>
        <w:trPr>
          <w:trHeight w:val="727"/>
        </w:trPr>
        <w:tc>
          <w:tcPr>
            <w:tcW w:w="701" w:type="dxa"/>
            <w:textDirection w:val="lrTb"/>
            <w:noWrap w:val="false"/>
          </w:tcPr>
          <w:p>
            <w:pPr>
              <w:pStyle w:val="932"/>
              <w:numPr>
                <w:ilvl w:val="0"/>
                <w:numId w:val="6"/>
              </w:numPr>
              <w:ind w:firstLine="0"/>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1680" w:type="dxa"/>
            <w:vAlign w:val="center"/>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内置密码芯片</w:t>
            </w:r>
            <w:r/>
          </w:p>
        </w:tc>
        <w:tc>
          <w:tcPr>
            <w:tcW w:w="6178"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内置高安全性、高性价比、多功能的密码安全 SOC 芯片；</w:t>
            </w:r>
            <w:r/>
          </w:p>
        </w:tc>
      </w:tr>
      <w:tr>
        <w:trPr>
          <w:trHeight w:val="472"/>
        </w:trPr>
        <w:tc>
          <w:tcPr>
            <w:tcW w:w="701" w:type="dxa"/>
            <w:textDirection w:val="lrTb"/>
            <w:noWrap w:val="false"/>
          </w:tcPr>
          <w:p>
            <w:pPr>
              <w:pStyle w:val="932"/>
              <w:numPr>
                <w:ilvl w:val="0"/>
                <w:numId w:val="6"/>
              </w:numPr>
              <w:ind w:firstLine="0"/>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en-US"/>
              </w:rPr>
              <w:outlineLvl w:val="9"/>
            </w:pPr>
            <w:r>
              <w:rPr>
                <w:rFonts w:hint="eastAsia" w:ascii="宋体" w:hAnsi="宋体" w:eastAsia="宋体" w:cs="宋体"/>
                <w:b/>
                <w:bCs/>
                <w:color w:val="auto"/>
                <w:sz w:val="24"/>
                <w:szCs w:val="24"/>
                <w:highlight w:val="none"/>
                <w:lang w:eastAsia="zh-CN"/>
              </w:rPr>
              <w:t xml:space="preserve">算法支持</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支持国密</w:t>
            </w:r>
            <w:r>
              <w:rPr>
                <w:rFonts w:hint="eastAsia" w:ascii="宋体" w:hAnsi="宋体" w:eastAsia="宋体" w:cs="宋体"/>
                <w:color w:val="auto"/>
                <w:sz w:val="24"/>
                <w:szCs w:val="24"/>
                <w:highlight w:val="none"/>
                <w:lang w:eastAsia="en-US"/>
              </w:rPr>
              <w:t xml:space="preserve">SM2</w:t>
            </w:r>
            <w:r>
              <w:rPr>
                <w:rFonts w:hint="eastAsia" w:ascii="宋体" w:hAnsi="宋体" w:eastAsia="宋体" w:cs="宋体"/>
                <w:color w:val="auto"/>
                <w:sz w:val="24"/>
                <w:szCs w:val="24"/>
                <w:highlight w:val="none"/>
                <w:lang w:eastAsia="zh-CN"/>
              </w:rPr>
              <w:t xml:space="preserve">/SM3/SM4/SM9算法</w:t>
            </w:r>
            <w:r/>
          </w:p>
        </w:tc>
      </w:tr>
      <w:tr>
        <w:trPr>
          <w:trHeight w:val="410"/>
        </w:trPr>
        <w:tc>
          <w:tcPr>
            <w:tcW w:w="701" w:type="dxa"/>
            <w:textDirection w:val="lrTb"/>
            <w:noWrap w:val="false"/>
          </w:tcPr>
          <w:p>
            <w:pPr>
              <w:pStyle w:val="932"/>
              <w:numPr>
                <w:ilvl w:val="0"/>
                <w:numId w:val="6"/>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擦写次数</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≥10万次</w:t>
            </w:r>
            <w:r/>
          </w:p>
        </w:tc>
      </w:tr>
      <w:tr>
        <w:trPr>
          <w:trHeight w:val="491"/>
        </w:trPr>
        <w:tc>
          <w:tcPr>
            <w:tcW w:w="701" w:type="dxa"/>
            <w:textDirection w:val="lrTb"/>
            <w:noWrap w:val="false"/>
          </w:tcPr>
          <w:p>
            <w:pPr>
              <w:pStyle w:val="932"/>
              <w:numPr>
                <w:ilvl w:val="0"/>
                <w:numId w:val="6"/>
              </w:numPr>
              <w:ind w:firstLine="0"/>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签名验签性能</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≥100次/秒的签名/验签能力</w:t>
            </w:r>
            <w:r/>
          </w:p>
        </w:tc>
      </w:tr>
      <w:tr>
        <w:trPr>
          <w:trHeight w:val="415"/>
        </w:trPr>
        <w:tc>
          <w:tcPr>
            <w:tcW w:w="701" w:type="dxa"/>
            <w:textDirection w:val="lrTb"/>
            <w:noWrap w:val="false"/>
          </w:tcPr>
          <w:p>
            <w:pPr>
              <w:pStyle w:val="932"/>
              <w:numPr>
                <w:ilvl w:val="0"/>
                <w:numId w:val="6"/>
              </w:numPr>
              <w:ind w:firstLine="0"/>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1680" w:type="dxa"/>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保护机制</w:t>
            </w:r>
            <w:r/>
          </w:p>
        </w:tc>
        <w:tc>
          <w:tcPr>
            <w:tcW w:w="617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内嵌中断嵌套，支持中断优先级灵活配置</w:t>
            </w:r>
            <w:r/>
          </w:p>
        </w:tc>
      </w:tr>
      <w:tr>
        <w:trPr>
          <w:trHeight w:val="778"/>
        </w:trPr>
        <w:tc>
          <w:tcPr>
            <w:tcW w:w="701" w:type="dxa"/>
            <w:textDirection w:val="lrTb"/>
            <w:noWrap w:val="false"/>
          </w:tcPr>
          <w:p>
            <w:pPr>
              <w:pStyle w:val="932"/>
              <w:numPr>
                <w:ilvl w:val="0"/>
                <w:numId w:val="6"/>
              </w:numPr>
              <w:ind w:firstLine="0"/>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r>
            <w:r/>
          </w:p>
        </w:tc>
        <w:tc>
          <w:tcPr>
            <w:tcW w:w="1680" w:type="dxa"/>
            <w:vAlign w:val="center"/>
            <w:textDirection w:val="lrTb"/>
            <w:noWrap w:val="false"/>
          </w:tcPr>
          <w:p>
            <w:pPr>
              <w:pStyle w:val="932"/>
              <w:jc w:val="center"/>
              <w:spacing w:before="156" w:after="156" w:line="360" w:lineRule="auto"/>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国密要求</w:t>
            </w:r>
            <w:r/>
          </w:p>
        </w:tc>
        <w:tc>
          <w:tcPr>
            <w:tcW w:w="6178"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安全设计符合国密安全二级要求，具备《商用密码产品认证证书》</w:t>
            </w:r>
            <w:r/>
          </w:p>
        </w:tc>
      </w:tr>
    </w:tbl>
    <w:p>
      <w:pPr>
        <w:jc w:val="center"/>
        <w:spacing w:line="360" w:lineRule="auto"/>
        <w:rPr>
          <w:rFonts w:hint="eastAsia" w:ascii="宋体" w:hAnsi="宋体" w:eastAsia="宋体" w:cs="宋体"/>
          <w:b/>
          <w:bCs/>
          <w:color w:val="auto"/>
          <w:sz w:val="24"/>
          <w:szCs w:val="32"/>
          <w:highlight w:val="none"/>
        </w:rPr>
        <w:outlineLvl w:val="9"/>
      </w:pPr>
      <w:r>
        <w:rPr>
          <w:rFonts w:hint="eastAsia" w:ascii="宋体" w:hAnsi="宋体" w:eastAsia="宋体" w:cs="宋体"/>
          <w:b/>
          <w:bCs/>
          <w:color w:val="auto"/>
          <w:sz w:val="24"/>
          <w:szCs w:val="32"/>
          <w:highlight w:val="none"/>
        </w:rPr>
        <w:t xml:space="preserve">设备证书</w:t>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4"/>
        <w:gridCol w:w="2244"/>
        <w:gridCol w:w="5576"/>
      </w:tblGrid>
      <w:tr>
        <w:trPr>
          <w:jc w:val="center"/>
          <w:trHeight w:val="359"/>
        </w:trPr>
        <w:tc>
          <w:tcPr>
            <w:tcW w:w="704"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序号</w:t>
            </w:r>
            <w:r/>
          </w:p>
        </w:tc>
        <w:tc>
          <w:tcPr>
            <w:tcW w:w="2289"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功能模块</w:t>
            </w:r>
            <w:r/>
          </w:p>
        </w:tc>
        <w:tc>
          <w:tcPr>
            <w:tcW w:w="5688"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功能要求</w:t>
            </w:r>
            <w:r/>
          </w:p>
        </w:tc>
      </w:tr>
      <w:tr>
        <w:trPr>
          <w:jc w:val="center"/>
          <w:trHeight w:val="516"/>
        </w:trPr>
        <w:tc>
          <w:tcPr>
            <w:tcW w:w="704"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zh-CN"/>
              </w:rPr>
              <w:t xml:space="preserve">1</w:t>
            </w:r>
            <w:r/>
          </w:p>
        </w:tc>
        <w:tc>
          <w:tcPr>
            <w:tcW w:w="2289"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zh-CN"/>
              </w:rPr>
              <w:t xml:space="preserve">数量</w:t>
            </w:r>
            <w:r/>
          </w:p>
        </w:tc>
        <w:tc>
          <w:tcPr>
            <w:tcW w:w="5688"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张/年</w:t>
            </w:r>
            <w:r/>
          </w:p>
        </w:tc>
      </w:tr>
      <w:tr>
        <w:trPr>
          <w:jc w:val="center"/>
          <w:trHeight w:val="1447"/>
        </w:trPr>
        <w:tc>
          <w:tcPr>
            <w:tcW w:w="704"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zh-CN"/>
              </w:rPr>
              <w:t xml:space="preserve">2</w:t>
            </w:r>
            <w:r/>
          </w:p>
        </w:tc>
        <w:tc>
          <w:tcPr>
            <w:tcW w:w="2289"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电子认证与证书颁发</w:t>
            </w:r>
            <w:r/>
          </w:p>
        </w:tc>
        <w:tc>
          <w:tcPr>
            <w:tcW w:w="5688"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对接具有工信部的《电子认证服务许可证》的第三方电子认证机构，颁发 X509 v3 的数字证书，证书有效期以年为单位，提供基于数字证书的电子签名服务；</w:t>
            </w:r>
            <w:r/>
          </w:p>
        </w:tc>
      </w:tr>
      <w:tr>
        <w:trPr>
          <w:jc w:val="center"/>
          <w:trHeight w:val="415"/>
        </w:trPr>
        <w:tc>
          <w:tcPr>
            <w:tcW w:w="704"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3</w:t>
            </w:r>
            <w:r/>
          </w:p>
        </w:tc>
        <w:tc>
          <w:tcPr>
            <w:tcW w:w="2289"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算法支持</w:t>
            </w:r>
            <w:r/>
          </w:p>
        </w:tc>
        <w:tc>
          <w:tcPr>
            <w:tcW w:w="5688"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支持算法：支持SM2、SM3；</w:t>
            </w:r>
            <w:r/>
          </w:p>
        </w:tc>
      </w:tr>
      <w:tr>
        <w:trPr>
          <w:jc w:val="center"/>
          <w:trHeight w:val="1047"/>
        </w:trPr>
        <w:tc>
          <w:tcPr>
            <w:tcW w:w="704"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w:t>
            </w:r>
            <w:r/>
          </w:p>
        </w:tc>
        <w:tc>
          <w:tcPr>
            <w:tcW w:w="2289" w:type="dxa"/>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en-US"/>
              </w:rPr>
              <w:outlineLvl w:val="9"/>
            </w:pPr>
            <w:r>
              <w:rPr>
                <w:rFonts w:hint="eastAsia" w:ascii="宋体" w:hAnsi="宋体" w:eastAsia="宋体" w:cs="宋体"/>
                <w:color w:val="auto"/>
                <w:sz w:val="24"/>
                <w:szCs w:val="24"/>
                <w:highlight w:val="none"/>
                <w:lang w:eastAsia="en-US"/>
              </w:rPr>
              <w:t xml:space="preserve">特征绑定</w:t>
            </w:r>
            <w:r/>
          </w:p>
        </w:tc>
        <w:tc>
          <w:tcPr>
            <w:tcW w:w="5688" w:type="dxa"/>
            <w:vAlign w:val="center"/>
            <w:textDirection w:val="lrTb"/>
            <w:noWrap w:val="false"/>
          </w:tcPr>
          <w:p>
            <w:pPr>
              <w:pStyle w:val="932"/>
              <w:jc w:val="center"/>
              <w:spacing w:before="156" w:after="156"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证书中包含设备特征信息，证书密钥存储至患者签署终端设备密码模块中，用于医疗文书电子签名。</w:t>
            </w:r>
            <w:r/>
          </w:p>
        </w:tc>
      </w:tr>
    </w:tbl>
    <w:p>
      <w:pPr>
        <w:ind w:firstLine="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spacing w:line="360" w:lineRule="auto"/>
        <w:rPr>
          <w:rFonts w:hint="eastAsia" w:ascii="宋体" w:hAnsi="宋体" w:eastAsia="宋体" w:cs="宋体"/>
          <w:b/>
          <w:bCs/>
          <w:color w:val="auto"/>
          <w:sz w:val="40"/>
          <w:szCs w:val="40"/>
          <w:highlight w:val="none"/>
        </w:rPr>
      </w:pPr>
      <w:r>
        <w:rPr>
          <w:rFonts w:hint="eastAsia" w:ascii="宋体" w:hAnsi="宋体" w:eastAsia="宋体" w:cs="宋体"/>
          <w:color w:val="auto"/>
          <w:sz w:val="40"/>
          <w:szCs w:val="40"/>
          <w:highlight w:val="none"/>
        </w:rPr>
        <w:br w:type="page" w:clear="all"/>
      </w:r>
      <w:r>
        <w:rPr>
          <w:rFonts w:hint="eastAsia" w:ascii="宋体" w:hAnsi="宋体" w:eastAsia="宋体" w:cs="宋体"/>
          <w:b/>
          <w:bCs/>
          <w:color w:val="auto"/>
          <w:sz w:val="40"/>
          <w:szCs w:val="40"/>
          <w:highlight w:val="none"/>
        </w:rPr>
        <w:t xml:space="preserve">第五章  评审方法和评审标准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次采购采用百分制综合评分法，即磋商供应商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hint="eastAsia" w:ascii="宋体" w:hAnsi="宋体" w:eastAsia="宋体" w:cs="宋体"/>
          <w:b/>
          <w:bCs/>
          <w:color w:val="auto"/>
          <w:sz w:val="24"/>
          <w:szCs w:val="32"/>
          <w:highlight w:val="none"/>
        </w:rPr>
        <w:t xml:space="preserve">评审得分且最后报价相同的，按照技术指标优劣顺序推荐；技术指标得分仍相同的，通过抽签方式确定排序。</w:t>
      </w:r>
      <w:r>
        <w:rPr>
          <w:rFonts w:hint="eastAsia" w:ascii="宋体" w:hAnsi="宋体" w:eastAsia="宋体" w:cs="宋体"/>
          <w:color w:val="auto"/>
          <w:sz w:val="24"/>
          <w:szCs w:val="32"/>
          <w:highlight w:val="none"/>
        </w:rPr>
        <w:t xml:space="preserve">因磋商供应商自身原因，在磋商期间，不能及时、完整、有效提供相关原件以供磋商小组查询，由此导致不利于响应文件的磋商后果由磋商供应商承担。</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评分细则详见下表：</w:t>
      </w:r>
      <w:r/>
    </w:p>
    <w:tbl>
      <w:tblPr>
        <w:tblStyle w:val="709"/>
        <w:tblW w:w="8788" w:type="dxa"/>
        <w:tblInd w:w="3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45" w:type="dxa"/>
          <w:right w:w="96" w:type="dxa"/>
          <w:bottom w:w="45" w:type="dxa"/>
        </w:tblCellMar>
        <w:tblLook w:val="04A0" w:firstRow="1" w:lastRow="0" w:firstColumn="1" w:lastColumn="0" w:noHBand="0" w:noVBand="1"/>
      </w:tblPr>
      <w:tblGrid>
        <w:gridCol w:w="792"/>
        <w:gridCol w:w="1274"/>
        <w:gridCol w:w="5930"/>
        <w:gridCol w:w="792"/>
      </w:tblGrid>
      <w:tr>
        <w:trPr>
          <w:trHeight w:val="0"/>
          <w:tblHeader/>
        </w:trPr>
        <w:tc>
          <w:tcPr>
            <w:tcW w:w="792" w:type="dxa"/>
            <w:vAlign w:val="center"/>
            <w:textDirection w:val="lrTb"/>
            <w:noWrap w:val="false"/>
          </w:tcPr>
          <w:p>
            <w:pPr>
              <w:jc w:val="center"/>
              <w:keepNex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tcW w:w="1274" w:type="dxa"/>
            <w:vAlign w:val="center"/>
            <w:textDirection w:val="lrTb"/>
            <w:noWrap w:val="false"/>
          </w:tcPr>
          <w:p>
            <w:pPr>
              <w:jc w:val="center"/>
              <w:keepNex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评审因素</w:t>
            </w:r>
            <w:r/>
          </w:p>
        </w:tc>
        <w:tc>
          <w:tcPr>
            <w:tcW w:w="5930" w:type="dxa"/>
            <w:vAlign w:val="center"/>
            <w:textDirection w:val="lrTb"/>
            <w:noWrap w:val="false"/>
          </w:tcPr>
          <w:p>
            <w:pPr>
              <w:jc w:val="center"/>
              <w:keepNex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评分标准说明</w:t>
            </w:r>
            <w:r/>
          </w:p>
        </w:tc>
        <w:tc>
          <w:tcPr>
            <w:tcW w:w="792" w:type="dxa"/>
            <w:vAlign w:val="center"/>
            <w:textDirection w:val="lrTb"/>
            <w:noWrap w:val="false"/>
          </w:tcPr>
          <w:p>
            <w:pPr>
              <w:jc w:val="center"/>
              <w:keepNex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分值</w:t>
            </w:r>
            <w:r/>
          </w:p>
        </w:tc>
      </w:tr>
      <w:tr>
        <w:trPr>
          <w:trHeight w:val="0"/>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Nex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一</w:t>
            </w:r>
            <w:r/>
          </w:p>
        </w:tc>
        <w:tc>
          <w:tcPr>
            <w:gridSpan w:val="2"/>
            <w:tcBorders>
              <w:top w:val="single" w:color="auto" w:sz="4" w:space="0"/>
              <w:left w:val="single" w:color="auto" w:sz="4" w:space="0"/>
              <w:bottom w:val="single" w:color="auto" w:sz="4" w:space="0"/>
              <w:right w:val="single" w:color="auto" w:sz="4" w:space="0"/>
            </w:tcBorders>
            <w:tcW w:w="7204" w:type="dxa"/>
            <w:vAlign w:val="center"/>
            <w:textDirection w:val="lrTb"/>
            <w:noWrap w:val="false"/>
          </w:tcPr>
          <w:p>
            <w:pPr>
              <w:jc w:val="center"/>
              <w:keepNex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keepNex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30</w:t>
            </w:r>
            <w:r/>
          </w:p>
        </w:tc>
      </w:tr>
      <w:tr>
        <w:trPr>
          <w:trHeight w:val="0"/>
        </w:trPr>
        <w:tc>
          <w:tcPr>
            <w:tcBorders>
              <w:left w:val="single" w:color="auto" w:sz="4" w:space="0"/>
            </w:tcBorders>
            <w:tcW w:w="792" w:type="dxa"/>
            <w:vAlign w:val="center"/>
            <w:textDirection w:val="lrTb"/>
            <w:noWrap w:val="false"/>
          </w:tcPr>
          <w:p>
            <w:pPr>
              <w:jc w:val="center"/>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left w:val="single" w:color="auto" w:sz="4" w:space="0"/>
            </w:tcBorders>
            <w:tcW w:w="1274" w:type="dxa"/>
            <w:vAlign w:val="center"/>
            <w:textDirection w:val="lrTb"/>
            <w:noWrap w:val="false"/>
          </w:tcPr>
          <w:p>
            <w:pPr>
              <w:jc w:val="center"/>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价格评分</w:t>
            </w:r>
            <w:r/>
          </w:p>
        </w:tc>
        <w:tc>
          <w:tcPr>
            <w:shd w:val="clear" w:color="auto" w:fill="auto"/>
            <w:tcBorders>
              <w:left w:val="single" w:color="auto" w:sz="4" w:space="0"/>
            </w:tcBorders>
            <w:tcW w:w="5930"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按满足竞争性磋商文件要求且最终有效投标价格最低的投标报价作为评审基准价，其价格分为满分；其他供应商的价格分按以下公式计算：投标报价得分＝（评审基准价/最终投标报价）×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（分值保留两位小数）。</w:t>
            </w:r>
            <w:r/>
          </w:p>
        </w:tc>
        <w:tc>
          <w:tcPr>
            <w:tcBorders>
              <w:left w:val="single" w:color="auto" w:sz="4" w:space="0"/>
            </w:tcBorders>
            <w:tcW w:w="792" w:type="dxa"/>
            <w:vAlign w:val="center"/>
            <w:textDirection w:val="lrTb"/>
            <w:noWrap w:val="false"/>
          </w:tcPr>
          <w:p>
            <w:pPr>
              <w:jc w:val="righ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r>
      <w:tr>
        <w:trPr>
          <w:trHeight w:val="0"/>
        </w:trPr>
        <w:tc>
          <w:tcPr>
            <w:tcW w:w="792" w:type="dxa"/>
            <w:vAlign w:val="center"/>
            <w:textDirection w:val="lrTb"/>
            <w:noWrap w:val="false"/>
          </w:tcPr>
          <w:p>
            <w:pPr>
              <w:jc w:val="center"/>
              <w:keepNex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w:t>
            </w:r>
            <w:r/>
          </w:p>
        </w:tc>
        <w:tc>
          <w:tcPr>
            <w:gridSpan w:val="2"/>
            <w:tcW w:w="7204" w:type="dxa"/>
            <w:vAlign w:val="center"/>
            <w:textDirection w:val="lrTb"/>
            <w:noWrap w:val="false"/>
          </w:tcPr>
          <w:p>
            <w:pPr>
              <w:jc w:val="center"/>
              <w:keepNex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商务部分</w:t>
            </w:r>
            <w:r/>
          </w:p>
        </w:tc>
        <w:tc>
          <w:tcPr>
            <w:tcW w:w="792" w:type="dxa"/>
            <w:vAlign w:val="center"/>
            <w:textDirection w:val="lrTb"/>
            <w:noWrap w:val="false"/>
          </w:tcPr>
          <w:p>
            <w:pPr>
              <w:jc w:val="center"/>
              <w:keepNex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10</w:t>
            </w:r>
            <w:r/>
          </w:p>
        </w:tc>
      </w:tr>
      <w:tr>
        <w:trPr>
          <w:trHeight w:val="0"/>
        </w:trPr>
        <w:tc>
          <w:tcPr>
            <w:tcBorders>
              <w:left w:val="single" w:color="auto" w:sz="4" w:space="0"/>
            </w:tcBorders>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left w:val="single" w:color="auto" w:sz="4" w:space="0"/>
            </w:tcBorders>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企业资质</w:t>
            </w:r>
            <w:r/>
          </w:p>
        </w:tc>
        <w:tc>
          <w:tcPr>
            <w:shd w:val="clear" w:color="auto" w:fill="auto"/>
            <w:tcBorders>
              <w:left w:val="single" w:color="auto" w:sz="4" w:space="0"/>
            </w:tcBorders>
            <w:tcW w:w="5930" w:type="dxa"/>
            <w:vAlign w:val="center"/>
            <w:textDirection w:val="lrTb"/>
            <w:noWrap w:val="false"/>
          </w:tcPr>
          <w:p>
            <w:pPr>
              <w:numPr>
                <w:ilvl w:val="0"/>
                <w:numId w:val="7"/>
              </w:num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投标人具备</w:t>
            </w:r>
            <w:r>
              <w:rPr>
                <w:rFonts w:hint="eastAsia" w:ascii="宋体" w:hAnsi="宋体" w:eastAsia="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rPr>
              <w:t xml:space="preserve">质量管理体系、信息安全管理体系证书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每提供一个证书得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15"/>
              <w:numPr>
                <w:ilvl w:val="0"/>
                <w:numId w:val="0"/>
              </w:num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注：提供证书扫描件</w:t>
            </w:r>
            <w:r/>
          </w:p>
        </w:tc>
        <w:tc>
          <w:tcPr>
            <w:tcBorders>
              <w:left w:val="single" w:color="auto" w:sz="4" w:space="0"/>
            </w:tcBorders>
            <w:tcW w:w="792" w:type="dxa"/>
            <w:vAlign w:val="center"/>
            <w:textDirection w:val="lrTb"/>
            <w:noWrap w:val="false"/>
          </w:tcPr>
          <w:p>
            <w:pPr>
              <w:jc w:val="center"/>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r>
      <w:tr>
        <w:trPr>
          <w:trHeight w:val="0"/>
        </w:trPr>
        <w:tc>
          <w:tcPr>
            <w:tcBorders>
              <w:left w:val="single" w:color="auto" w:sz="4" w:space="0"/>
            </w:tcBorders>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left w:val="single" w:color="auto" w:sz="4" w:space="0"/>
            </w:tcBorders>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项目团队建设</w:t>
            </w:r>
            <w:r/>
          </w:p>
        </w:tc>
        <w:tc>
          <w:tcPr>
            <w:shd w:val="clear" w:color="auto" w:fill="auto"/>
            <w:tcBorders>
              <w:left w:val="single" w:color="auto" w:sz="4" w:space="0"/>
            </w:tcBorders>
            <w:tcW w:w="593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项目经理具有</w:t>
            </w:r>
            <w:r>
              <w:rPr>
                <w:rFonts w:hint="eastAsia" w:ascii="宋体" w:hAnsi="宋体" w:eastAsia="宋体" w:cs="宋体"/>
                <w:color w:val="auto"/>
                <w:sz w:val="24"/>
                <w:szCs w:val="24"/>
                <w:highlight w:val="none"/>
                <w:u w:val="single"/>
                <w:lang w:val="en-US" w:eastAsia="zh-CN"/>
              </w:rPr>
              <w:t xml:space="preserve">计算机相关专业</w:t>
            </w:r>
            <w:r>
              <w:rPr>
                <w:rFonts w:hint="eastAsia" w:ascii="宋体" w:hAnsi="宋体" w:eastAsia="宋体" w:cs="宋体"/>
                <w:color w:val="auto"/>
                <w:sz w:val="24"/>
                <w:szCs w:val="24"/>
                <w:highlight w:val="none"/>
                <w:lang w:val="en-US" w:eastAsia="zh-CN"/>
              </w:rPr>
              <w:t xml:space="preserve">中级及以上工程师职称证书的,得1分，具有信息系统项目管理师或系统分析师或系统架构设计师或系统规划与管理师证书的，得1分；本小项最多得2分。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2.项目团队配备至少2名专职技术人员：具备软件工程师、计算机相关国家级证书、</w:t>
            </w:r>
            <w:r>
              <w:rPr>
                <w:rFonts w:hint="eastAsia" w:ascii="宋体" w:hAnsi="宋体" w:eastAsia="宋体" w:cs="宋体"/>
                <w:color w:val="auto"/>
                <w:sz w:val="24"/>
                <w:szCs w:val="24"/>
                <w:highlight w:val="none"/>
              </w:rPr>
              <w:t xml:space="preserve">信息安全工程师</w:t>
            </w:r>
            <w:r>
              <w:rPr>
                <w:rFonts w:hint="eastAsia" w:ascii="宋体" w:hAnsi="宋体" w:eastAsia="宋体" w:cs="宋体"/>
                <w:color w:val="auto"/>
                <w:sz w:val="24"/>
                <w:szCs w:val="24"/>
                <w:highlight w:val="none"/>
                <w:lang w:val="en-US" w:eastAsia="zh-CN"/>
              </w:rPr>
              <w:t xml:space="preserve">证书的每个得1分，得3分。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提供上述人员所获证书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以及供应商为其缴纳的近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w:t>
            </w:r>
            <w:r>
              <w:rPr>
                <w:rFonts w:hint="eastAsia" w:ascii="宋体" w:hAnsi="宋体" w:eastAsia="宋体" w:cs="宋体"/>
                <w:color w:val="auto"/>
                <w:sz w:val="24"/>
                <w:szCs w:val="24"/>
                <w:highlight w:val="none"/>
                <w:lang w:val="en-US" w:eastAsia="zh-CN"/>
              </w:rPr>
              <w:t xml:space="preserve">任意一个月</w:t>
            </w:r>
            <w:r>
              <w:rPr>
                <w:rFonts w:hint="eastAsia" w:ascii="宋体" w:hAnsi="宋体" w:eastAsia="宋体" w:cs="宋体"/>
                <w:color w:val="auto"/>
                <w:sz w:val="24"/>
                <w:szCs w:val="24"/>
                <w:highlight w:val="none"/>
              </w:rPr>
              <w:t xml:space="preserve">社保缴费证明</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，否则不得分</w:t>
            </w:r>
            <w:r>
              <w:rPr>
                <w:rFonts w:hint="eastAsia" w:ascii="宋体" w:hAnsi="宋体" w:eastAsia="宋体" w:cs="宋体"/>
                <w:color w:val="auto"/>
                <w:sz w:val="24"/>
                <w:szCs w:val="24"/>
                <w:highlight w:val="none"/>
                <w:lang w:eastAsia="zh-CN"/>
              </w:rPr>
              <w:t xml:space="preserve">。</w:t>
            </w:r>
            <w:r/>
          </w:p>
        </w:tc>
        <w:tc>
          <w:tcPr>
            <w:tcBorders>
              <w:left w:val="single" w:color="auto" w:sz="4" w:space="0"/>
            </w:tcBorders>
            <w:tcW w:w="792" w:type="dxa"/>
            <w:vAlign w:val="center"/>
            <w:textDirection w:val="lrTb"/>
            <w:noWrap w:val="false"/>
          </w:tcPr>
          <w:p>
            <w:pPr>
              <w:jc w:val="center"/>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r>
      <w:tr>
        <w:trPr>
          <w:trHeight w:val="0"/>
        </w:trPr>
        <w:tc>
          <w:tcPr>
            <w:tcBorders>
              <w:left w:val="single" w:color="auto" w:sz="4" w:space="0"/>
            </w:tcBorders>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left w:val="single" w:color="auto" w:sz="4" w:space="0"/>
            </w:tcBorders>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shd w:val="clear" w:color="auto" w:fill="auto"/>
            <w:tcBorders>
              <w:left w:val="single" w:color="auto" w:sz="4" w:space="0"/>
            </w:tcBorders>
            <w:tcW w:w="593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供应商具有</w:t>
            </w:r>
            <w:r>
              <w:rPr>
                <w:rFonts w:hint="eastAsia" w:ascii="宋体" w:hAnsi="宋体" w:eastAsia="宋体" w:cs="宋体"/>
                <w:color w:val="auto"/>
                <w:sz w:val="24"/>
                <w:szCs w:val="24"/>
                <w:highlight w:val="none"/>
                <w:lang w:val="en-US" w:eastAsia="zh-CN"/>
              </w:rPr>
              <w:t xml:space="preserve">2023年1月1日以来承接过</w:t>
            </w:r>
            <w:r>
              <w:rPr>
                <w:rFonts w:hint="eastAsia" w:ascii="宋体" w:hAnsi="宋体" w:eastAsia="宋体" w:cs="宋体"/>
                <w:b/>
                <w:bCs/>
                <w:color w:val="auto"/>
                <w:sz w:val="24"/>
                <w:szCs w:val="24"/>
                <w:highlight w:val="none"/>
                <w:lang w:val="en-US" w:eastAsia="zh-CN"/>
              </w:rPr>
              <w:t xml:space="preserve">无纸化病案/电子病历</w:t>
            </w:r>
            <w:r>
              <w:rPr>
                <w:rFonts w:hint="eastAsia" w:ascii="宋体" w:hAnsi="宋体" w:eastAsia="宋体" w:cs="宋体"/>
                <w:color w:val="auto"/>
                <w:sz w:val="24"/>
                <w:szCs w:val="24"/>
                <w:highlight w:val="none"/>
                <w:lang w:val="en-US" w:eastAsia="zh-CN"/>
              </w:rPr>
              <w:t xml:space="preserve">相关系统建设项目，每提供1份得 1分，最多得3分。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（提供合同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lang w:val="zh-CN"/>
              </w:rPr>
              <w:t xml:space="preserve">对应的服务发票（发票可提供合同期内任意一张）</w:t>
            </w:r>
            <w:r>
              <w:rPr>
                <w:rFonts w:hint="eastAsia" w:ascii="宋体" w:hAnsi="宋体" w:eastAsia="宋体" w:cs="宋体"/>
                <w:color w:val="auto"/>
                <w:sz w:val="24"/>
                <w:szCs w:val="24"/>
                <w:highlight w:val="none"/>
              </w:rPr>
              <w:t xml:space="preserve">，时间以合同签订时间为准，合同页须反映出签约双方名称及公章、签约时间、系统名称以及项目建设内容，否则不得分）。</w:t>
            </w:r>
            <w:r/>
          </w:p>
        </w:tc>
        <w:tc>
          <w:tcPr>
            <w:tcBorders>
              <w:left w:val="single" w:color="auto" w:sz="4" w:space="0"/>
            </w:tcBorders>
            <w:tcW w:w="792" w:type="dxa"/>
            <w:vAlign w:val="center"/>
            <w:textDirection w:val="lrTb"/>
            <w:noWrap w:val="false"/>
          </w:tcPr>
          <w:p>
            <w:pPr>
              <w:jc w:val="center"/>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w:t>
            </w:r>
            <w:r/>
          </w:p>
        </w:tc>
      </w:tr>
      <w:tr>
        <w:trPr>
          <w:trHeight w:val="0"/>
        </w:trPr>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三</w:t>
            </w:r>
            <w:r/>
          </w:p>
        </w:tc>
        <w:tc>
          <w:tcPr>
            <w:gridSpan w:val="2"/>
            <w:tcW w:w="7204" w:type="dxa"/>
            <w:vAlign w:val="center"/>
            <w:textDirection w:val="lrTb"/>
            <w:noWrap w:val="false"/>
          </w:tcPr>
          <w:p>
            <w:pPr>
              <w:jc w:val="center"/>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部分</w:t>
            </w:r>
            <w:r/>
          </w:p>
        </w:tc>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60分</w:t>
            </w:r>
            <w:r/>
          </w:p>
        </w:tc>
      </w:tr>
      <w:tr>
        <w:trPr>
          <w:trHeight w:val="0"/>
        </w:trPr>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应用</w:t>
            </w:r>
            <w:r>
              <w:rPr>
                <w:rFonts w:hint="eastAsia" w:ascii="宋体" w:hAnsi="宋体" w:eastAsia="宋体" w:cs="宋体"/>
                <w:color w:val="auto"/>
                <w:sz w:val="24"/>
                <w:szCs w:val="24"/>
                <w:highlight w:val="none"/>
              </w:rPr>
              <w:t xml:space="preserve">功能点演示</w:t>
            </w:r>
            <w:r/>
          </w:p>
        </w:tc>
        <w:tc>
          <w:tcPr>
            <w:tcW w:w="593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1.通过统一的可视化数据看板，监控病案无纸化归档相关各项指标，包括出院患者情况、病历采集情况、归档情况、自助打印情况、互联网应用情况等。</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持展示病案责任病案、归档质控、病案查询、病案标记、借阅审核等病案室常用功能。展示病案管理相关数据，如当日所在科室的出院人数、采集数量、已归档数量、打印数量等。展示待处理任务信息，如待质控、待借阅审核内容，并支持消息提醒展示。</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3.病案检索后可通过借阅流程浏览无纸化病案，支持时限控制，到期后自动归还。支持按病案分类借阅，同时支持科室借阅，一人借阅，科室集体浏览。</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4.支持脱敏浏览，对病历中的敏感信息进行遮盖显示。</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5.支持病案未归档统计、科室打印统计、病案扫描纸张统计、归档量统计，可按科室、主治医师进行统计，包含出院患者病历2日、3日、7日归档率及未归档情况统计，并支持导出为Excel格式。</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具备采集监控与预警功能，支持配置预警信息通过微信推送给指定用户。支持通过移动端拍照上传纸质病历，如外院资料等。支持对上传图片进行智能自动命名，并具备图像识别预处理功能，如模糊识别、非本人病历识别等。</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支持通过打包上传病历（如RAR、ZIP格式）模板，利用机器学习自动解析病历（非人工标注），实现病历全结构化核心内容的自动标注（解析率高于95%），并支持对模板进行人工纠错。支持文书完整性检查，出科时如存在缺项内容将提示医生护士，并可实时查看完整病案内容。至少包括：质检结果管理：病历筛查，可按科室/病区、病历号、患者姓名、入出院日期、主管医生等基本条件查询患者。</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未提供演示或演示内容不相关或演示文件出现无法正常读取、播放等情形，该功能不得分。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每提供1个符合要求的功能演示得3分，最高21分。</w:t>
            </w:r>
            <w:r/>
          </w:p>
        </w:tc>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tc>
      </w:tr>
      <w:tr>
        <w:trPr>
          <w:trHeight w:val="0"/>
        </w:trPr>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管理配置功能演示</w:t>
            </w:r>
            <w:r/>
          </w:p>
        </w:tc>
        <w:tc>
          <w:tcPr>
            <w:tcW w:w="593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1.提供信息化管理常用菜单快捷入口及监控大屏入口，展示出院人数、采集数量、归档数量等关键指标数据。</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2.展示采集服务所在服务器的CPU、内存、存储等使用情况，实时显示接口异常及详细链接，为无纸化归档运行提供直观的管理信息。</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支持通过可视化界面配置HTTP、FTP、Webservice、共享及二进制数据流等方式，对接院内数据集成平台、HIS、LIS、PACS、EMR、手麻、心电、移动护理等系统，自动获取医疗文书及报告，并转换为PDF/OFD格式采集至归档系统。</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无纸化病案基础上，基于PDF/OFD标准建设医院临床电子文档库，不依赖特定技术或厂商，支持跨平台、跨设备共享访问，并对外提供统一的文档浏览与调阅系统，具备完整的三方访问日志记录。系统自动生成授权码，第三方通过授权码在授权范围内访问病历，支持全文检索及页面全屏水印安全控制。</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未提供演示或演示内容不相关或演示文件出现无法正常读取、播放等情形，该功能不得分。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每提供1个符合要求的功能演示得3分，最高12分。</w:t>
            </w:r>
            <w:r/>
          </w:p>
        </w:tc>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r>
      <w:tr>
        <w:trPr>
          <w:trHeight w:val="0"/>
        </w:trPr>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项目实施方案</w:t>
            </w:r>
            <w:r/>
          </w:p>
        </w:tc>
        <w:tc>
          <w:tcPr>
            <w:shd w:val="clear" w:color="auto" w:fill="auto"/>
            <w:tcW w:w="593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实施方案内容应包括：1.项目实施方法2.项目管理方法3.项目角色与责任规划4.项目追踪控制方案5.项目沟通方案6.安装、调试及验收方案</w:t>
            </w:r>
            <w:r>
              <w:rPr>
                <w:rFonts w:hint="eastAsia" w:ascii="宋体" w:hAnsi="宋体" w:eastAsia="宋体" w:cs="宋体"/>
                <w:color w:val="auto"/>
                <w:sz w:val="24"/>
                <w:szCs w:val="24"/>
                <w:highlight w:val="none"/>
                <w:lang w:val="en-US" w:eastAsia="zh-CN"/>
              </w:rPr>
              <w:t xml:space="preserve">.</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根据以上6点逐一编制方案，</w:t>
            </w:r>
            <w:r>
              <w:rPr>
                <w:rFonts w:hint="eastAsia" w:ascii="宋体" w:hAnsi="宋体" w:eastAsia="宋体" w:cs="宋体"/>
                <w:color w:val="auto"/>
                <w:sz w:val="24"/>
                <w:szCs w:val="24"/>
                <w:highlight w:val="none"/>
              </w:rPr>
              <w:t xml:space="preserve">方案内容完善、有针对性，符合项目实际情况的，得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分；方案内容较完善、有一定可行性的，得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分；方案内容单一，可行性不足的，得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未提供不得分。</w:t>
            </w:r>
            <w:r/>
          </w:p>
        </w:tc>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r>
      <w:tr>
        <w:trPr>
          <w:trHeight w:val="0"/>
        </w:trPr>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培训服务</w:t>
            </w:r>
            <w:r/>
          </w:p>
        </w:tc>
        <w:tc>
          <w:tcPr>
            <w:shd w:val="clear" w:color="auto" w:fill="auto"/>
            <w:tcW w:w="593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提供多轮次下科室培训方案，覆盖医护技人员、病案室管理人员、行政人员，且包含操作手册、线上线下培训、现场答疑等形式。</w:t>
            </w:r>
            <w:r>
              <w:rPr>
                <w:rFonts w:hint="eastAsia" w:ascii="宋体" w:hAnsi="宋体" w:eastAsia="宋体" w:cs="宋体"/>
                <w:color w:val="auto"/>
                <w:sz w:val="24"/>
                <w:szCs w:val="24"/>
                <w:highlight w:val="none"/>
              </w:rPr>
              <w:t xml:space="preserve">方案内容完善、有针对性，符合项目实际情况的，得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分；方案内容较完善、有一定可行性的，得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分；方案内容单一，可行性不足的，得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r>
        <w:trPr>
          <w:trHeight w:val="0"/>
        </w:trPr>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1274"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售后服务保障</w:t>
            </w:r>
            <w:r/>
          </w:p>
        </w:tc>
        <w:tc>
          <w:tcPr>
            <w:shd w:val="clear" w:color="auto" w:fill="auto"/>
            <w:tcW w:w="5930"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1、免费质保期每增加一年得2.5分，最多得5分。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2、如若成交，承诺在泰州设有本地化服务网点或合作网点得2分.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3、如若成交，承诺质保期满后免费提供系统升级服务（含法规更新、功能优化），得2分，仅提供有偿升级的不得分。</w:t>
            </w:r>
            <w:r/>
          </w:p>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以上提供承诺书。</w:t>
            </w:r>
            <w:r/>
          </w:p>
        </w:tc>
        <w:tc>
          <w:tcPr>
            <w:tcW w:w="792" w:type="dxa"/>
            <w:vAlign w:val="center"/>
            <w:textDirection w:val="lrTb"/>
            <w:noWrap w:val="false"/>
          </w:tcPr>
          <w:p>
            <w:pPr>
              <w:jc w:val="left"/>
              <w:keepLines w:val="0"/>
              <w:keepNex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9分</w:t>
            </w:r>
            <w:r/>
          </w:p>
        </w:tc>
      </w:tr>
    </w:tbl>
    <w:p>
      <w:pPr>
        <w:jc w:val="left"/>
        <w:keepLines w:val="0"/>
        <w:keepNext/>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注：</w:t>
      </w:r>
      <w:r/>
    </w:p>
    <w:p>
      <w:pPr>
        <w:jc w:val="left"/>
        <w:keepLines w:val="0"/>
        <w:keepNext/>
        <w:pageBreakBefore w:val="0"/>
        <w:spacing w:line="360" w:lineRule="auto"/>
        <w:widowControl w:val="off"/>
        <w:rPr>
          <w:rFonts w:hint="eastAsia" w:ascii="宋体" w:hAnsi="宋体" w:eastAsia="宋体" w:cs="宋体"/>
          <w:b/>
          <w:color w:val="auto"/>
          <w:sz w:val="24"/>
          <w:szCs w:val="32"/>
          <w:highlight w:val="none"/>
        </w:rPr>
      </w:pPr>
      <w:r>
        <w:rPr>
          <w:rFonts w:hint="eastAsia" w:ascii="宋体" w:hAnsi="宋体" w:eastAsia="宋体" w:cs="宋体"/>
          <w:color w:val="auto"/>
          <w:sz w:val="24"/>
          <w:szCs w:val="32"/>
          <w:highlight w:val="none"/>
        </w:rPr>
        <w:t xml:space="preserve">1.以上评分标准中每一条，各供应商均应提供相关的资料并作出相应的对比供评分评判。</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2.响应文件中如出现前后不一致时，磋商小组有权请磋商供应商澄清说明，澄清说明事项涉及评分时，该项不得分。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3.磋商供应商承诺所提供的商务、技术、业绩资料全部真实，如有伪造，视作磋商供应商自动放弃投标及成交资格，并视作磋商供应商自愿接受相关处罚。</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4.磋商报价超过财政审批预算金额的，不得进入评标程序。</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6.供应商应根据国家政策调整规律进行报价，充分考虑服务期内的市场因素和成本变化状况的风险。</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7.响应供应商应认真进行现场勘察工作，场地现状及限制性因素由响应供应商向采购人查询并自行勘察核实，供应商的响应行为视为已充分调查、了解、核实场地现状，并同意接受准备履约合同。</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8．本办法未尽事宜，由磋商小组依据有关法规研究解决。</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pStyle w:val="889"/>
        <w:jc w:val="center"/>
        <w:keepNext w:val="0"/>
        <w:spacing w:line="360" w:lineRule="auto"/>
        <w:rPr>
          <w:rFonts w:hint="eastAsia" w:ascii="宋体" w:hAnsi="宋体" w:eastAsia="宋体" w:cs="宋体"/>
          <w:color w:val="auto"/>
          <w:sz w:val="40"/>
          <w:szCs w:val="40"/>
          <w:highlight w:val="none"/>
        </w:rPr>
      </w:pPr>
      <w:r/>
      <w:bookmarkStart w:id="111" w:name="_Toc29253"/>
      <w:r>
        <w:rPr>
          <w:rFonts w:hint="eastAsia" w:ascii="宋体" w:hAnsi="宋体" w:eastAsia="宋体" w:cs="宋体"/>
          <w:color w:val="auto"/>
          <w:sz w:val="40"/>
          <w:szCs w:val="40"/>
          <w:highlight w:val="none"/>
        </w:rPr>
        <w:t xml:space="preserve">第六章 响应文件的组成和格式</w:t>
      </w:r>
      <w:bookmarkEnd w:id="111"/>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921"/>
        <w:spacing w:line="360" w:lineRule="auto"/>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21"/>
        <w:spacing w:line="360" w:lineRule="auto"/>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21"/>
        <w:spacing w:line="360" w:lineRule="auto"/>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pStyle w:val="921"/>
        <w:spacing w:line="360" w:lineRule="auto"/>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响 应 文 件</w:t>
      </w:r>
      <w:r/>
    </w:p>
    <w:p>
      <w:pPr>
        <w:pStyle w:val="91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896"/>
        <w:spacing w:line="360" w:lineRule="auto"/>
        <w:rPr>
          <w:rFonts w:hint="eastAsia" w:ascii="宋体" w:hAnsi="宋体" w:eastAsia="宋体" w:cs="宋体"/>
          <w:color w:val="auto"/>
          <w:sz w:val="36"/>
          <w:szCs w:val="22"/>
          <w:highlight w:val="none"/>
        </w:rPr>
      </w:pPr>
      <w:r>
        <w:rPr>
          <w:rFonts w:hint="eastAsia" w:ascii="宋体" w:hAnsi="宋体" w:eastAsia="宋体" w:cs="宋体"/>
          <w:color w:val="auto"/>
          <w:sz w:val="36"/>
          <w:szCs w:val="2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91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p>
    <w:p>
      <w:pPr>
        <w:pStyle w:val="91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pStyle w:val="91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供应商名称 ：（加盖CA电子公章）</w:t>
      </w:r>
      <w:r/>
    </w:p>
    <w:p>
      <w:pPr>
        <w:pStyle w:val="913"/>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32"/>
          <w:szCs w:val="32"/>
          <w:highlight w:val="none"/>
        </w:rPr>
        <w:t xml:space="preserve">日期 ：</w:t>
      </w:r>
      <w:r/>
    </w:p>
    <w:p>
      <w:pPr>
        <w:pStyle w:val="913"/>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40"/>
          <w:szCs w:val="40"/>
          <w:highlight w:val="none"/>
          <w:lang w:eastAsia="zh-CN"/>
        </w:rPr>
      </w:pPr>
      <w:r>
        <w:rPr>
          <w:rFonts w:hint="eastAsia" w:ascii="宋体" w:hAnsi="宋体" w:eastAsia="宋体" w:cs="宋体"/>
          <w:color w:val="auto"/>
          <w:sz w:val="24"/>
          <w:szCs w:val="32"/>
          <w:highlight w:val="none"/>
        </w:rPr>
        <w:br w:type="page" w:clear="all"/>
      </w:r>
      <w:r>
        <w:rPr>
          <w:rFonts w:hint="eastAsia" w:ascii="宋体" w:hAnsi="宋体" w:eastAsia="宋体" w:cs="宋体"/>
          <w:color w:val="auto"/>
          <w:sz w:val="40"/>
          <w:szCs w:val="40"/>
          <w:highlight w:val="none"/>
        </w:rPr>
        <w:t xml:space="preserve">磋商报价表</w:t>
      </w:r>
      <w:r>
        <w:rPr>
          <w:rFonts w:hint="eastAsia" w:ascii="宋体" w:hAnsi="宋体" w:eastAsia="宋体" w:cs="宋体"/>
          <w:color w:val="auto"/>
          <w:sz w:val="40"/>
          <w:szCs w:val="40"/>
          <w:highlight w:val="none"/>
          <w:lang w:eastAsia="zh-CN"/>
        </w:rPr>
        <w:t xml:space="preserve">（</w:t>
      </w:r>
      <w:r>
        <w:rPr>
          <w:rFonts w:hint="eastAsia" w:ascii="宋体" w:hAnsi="宋体" w:eastAsia="宋体" w:cs="宋体"/>
          <w:color w:val="auto"/>
          <w:sz w:val="40"/>
          <w:szCs w:val="40"/>
          <w:highlight w:val="none"/>
          <w:lang w:val="en-US" w:eastAsia="zh-CN"/>
        </w:rPr>
        <w:t xml:space="preserve">以系统为准</w:t>
      </w:r>
      <w:r>
        <w:rPr>
          <w:rFonts w:hint="eastAsia" w:ascii="宋体" w:hAnsi="宋体" w:eastAsia="宋体" w:cs="宋体"/>
          <w:color w:val="auto"/>
          <w:sz w:val="40"/>
          <w:szCs w:val="40"/>
          <w:highlight w:val="none"/>
          <w:lang w:eastAsia="zh-CN"/>
        </w:rPr>
        <w:t xml:space="preserve">）</w:t>
      </w:r>
      <w:r/>
    </w:p>
    <w:p>
      <w:pPr>
        <w:pStyle w:val="922"/>
        <w:ind w:firstLine="48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2"/>
        <w:ind w:firstLine="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                          货币单位：人民币元</w:t>
      </w:r>
      <w:r/>
    </w:p>
    <w:p>
      <w:pPr>
        <w:pStyle w:val="922"/>
        <w:ind w:firstLine="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70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45"/>
        <w:gridCol w:w="2467"/>
        <w:gridCol w:w="3008"/>
      </w:tblGrid>
      <w:tr>
        <w:trPr>
          <w:cantSplit/>
          <w:jc w:val="center"/>
          <w:trHeight w:val="1182"/>
        </w:trPr>
        <w:tc>
          <w:tcPr>
            <w:tcBorders>
              <w:top w:val="single" w:color="000000" w:sz="6" w:space="0"/>
            </w:tcBorders>
            <w:tcW w:w="3293"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tcBorders>
            <w:tcW w:w="2509"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right w:val="single" w:color="000000" w:sz="2" w:space="0"/>
            </w:tcBorders>
            <w:tcW w:w="3056"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cantSplit/>
          <w:jc w:val="center"/>
          <w:trHeight w:val="1012"/>
        </w:trPr>
        <w:tc>
          <w:tcPr>
            <w:tcW w:w="3293"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09"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详见响应文件</w:t>
            </w:r>
            <w:r/>
          </w:p>
        </w:tc>
        <w:tc>
          <w:tcPr>
            <w:tcBorders>
              <w:right w:val="single" w:color="000000" w:sz="2" w:space="0"/>
            </w:tcBorders>
            <w:tcW w:w="3056"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035"/>
        </w:trPr>
        <w:tc>
          <w:tcPr>
            <w:tcW w:w="3293"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right w:val="single" w:color="000000" w:sz="2" w:space="0"/>
            </w:tcBorders>
            <w:tcW w:w="5565" w:type="dxa"/>
            <w:vAlign w:val="center"/>
            <w:textDirection w:val="lrTb"/>
            <w:noWrap w:val="false"/>
          </w:tcPr>
          <w:p>
            <w:pPr>
              <w:pStyle w:val="9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22"/>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2"/>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rPr>
          <w:rFonts w:hint="eastAsia" w:ascii="宋体" w:hAnsi="宋体" w:eastAsia="宋体" w:cs="宋体"/>
          <w:color w:val="auto"/>
          <w:sz w:val="24"/>
          <w:szCs w:val="32"/>
          <w:highlight w:val="none"/>
        </w:rPr>
        <w:t xml:space="preserve">（1）★具有独立承担民事责任能力的企事业法人营业执照；</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（2）★磋商供应商法定代表人资格证明书</w:t>
      </w:r>
      <w:r>
        <w:rPr>
          <w:rFonts w:hint="eastAsia" w:ascii="宋体" w:hAnsi="宋体" w:eastAsia="宋体" w:cs="宋体"/>
          <w:b/>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（3）★磋商供应商法定代表人授权委托书</w:t>
      </w:r>
      <w:r>
        <w:rPr>
          <w:rFonts w:hint="eastAsia" w:ascii="宋体" w:hAnsi="宋体" w:eastAsia="宋体" w:cs="宋体"/>
          <w:b/>
          <w:color w:val="auto"/>
          <w:sz w:val="24"/>
          <w:szCs w:val="32"/>
          <w:highlight w:val="none"/>
        </w:rPr>
        <w:t xml:space="preserve">（格式见附件，法定代表人亲自参加磋商的除外。）</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（4）★按照本文件第一章第二条之</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中“本项目的特定资格要求”应当提供的证书或材料等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如有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（7）★供应商近六个月中任意一个月份（不含磋商当月）的依法缴纳社会保障资金的相关材料（提供相关主管部门证明或银行代扣证明）；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（8）★参加政府采购活动前 3 年内在经营活动中没有重大违法记录的书面声明</w:t>
      </w:r>
      <w:r>
        <w:rPr>
          <w:rFonts w:hint="eastAsia" w:ascii="宋体" w:hAnsi="宋体" w:eastAsia="宋体" w:cs="宋体"/>
          <w:b/>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（9）★具备履行合同所必需的设备和专业技术能力的书面声明</w:t>
      </w:r>
      <w:r>
        <w:rPr>
          <w:rFonts w:hint="eastAsia" w:ascii="宋体" w:hAnsi="宋体" w:eastAsia="宋体" w:cs="宋体"/>
          <w:b/>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（10）磋商供应商应提供《中小企业声明函》或《残疾人福利性单位声明函》或省级以上监狱管理局、戒毒管理局（含新疆生产建设兵团）出具的属于监狱企业的证明文件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如有</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附件1 ：</w:t>
      </w:r>
      <w:r/>
    </w:p>
    <w:p>
      <w:pPr>
        <w:jc w:val="center"/>
        <w:spacing w:line="360" w:lineRule="auto"/>
        <w:rPr>
          <w:rFonts w:hint="eastAsia" w:ascii="宋体" w:hAnsi="宋体" w:eastAsia="宋体" w:cs="宋体"/>
          <w:color w:val="auto"/>
          <w:sz w:val="32"/>
          <w:szCs w:val="32"/>
          <w:highlight w:val="none"/>
        </w:rPr>
      </w:pPr>
      <w:r/>
      <w:bookmarkStart w:id="112" w:name="_Toc541"/>
      <w:r>
        <w:rPr>
          <w:rFonts w:hint="eastAsia" w:ascii="宋体" w:hAnsi="宋体" w:eastAsia="宋体" w:cs="宋体"/>
          <w:color w:val="auto"/>
          <w:sz w:val="32"/>
          <w:szCs w:val="32"/>
          <w:highlight w:val="none"/>
        </w:rPr>
        <w:t xml:space="preserve">法定代表人资格证明书</w:t>
      </w:r>
      <w:bookmarkEnd w:id="112"/>
      <w:r/>
      <w:r/>
    </w:p>
    <w:p>
      <w:pPr>
        <w:pStyle w:val="911"/>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911"/>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供应商（加盖CA电子章）：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9"/>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vAlign w:val="top"/>
            <w:textDirection w:val="lrTb"/>
            <w:noWrap w:val="false"/>
          </w:tcPr>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vAlign w:val="top"/>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加</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盖</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CA</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电</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子</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vAlign w:val="top"/>
            <w:textDirection w:val="lrTb"/>
            <w:noWrap w:val="false"/>
          </w:tcPr>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897"/>
        <w:spacing w:line="36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bookmarkStart w:id="113" w:name="_Toc27742"/>
      <w:r/>
      <w:bookmarkStart w:id="114" w:name="_Toc3508"/>
      <w:r/>
      <w:bookmarkStart w:id="115" w:name="_Toc10173"/>
      <w:r/>
      <w:bookmarkStart w:id="116" w:name="_Toc7422"/>
      <w:r>
        <w:rPr>
          <w:rFonts w:hint="eastAsia" w:ascii="宋体" w:hAnsi="宋体" w:eastAsia="宋体" w:cs="宋体"/>
          <w:color w:val="auto"/>
          <w:sz w:val="32"/>
          <w:szCs w:val="32"/>
          <w:highlight w:val="none"/>
        </w:rPr>
        <w:t xml:space="preserve">附件2：</w:t>
      </w:r>
      <w:bookmarkEnd w:id="113"/>
      <w:r/>
      <w:bookmarkEnd w:id="114"/>
      <w:r/>
      <w:bookmarkEnd w:id="115"/>
      <w:r/>
      <w:bookmarkEnd w:id="116"/>
      <w:r>
        <w:rPr>
          <w:rFonts w:hint="eastAsia" w:ascii="宋体" w:hAnsi="宋体" w:eastAsia="宋体" w:cs="宋体"/>
          <w:color w:val="auto"/>
          <w:sz w:val="32"/>
          <w:szCs w:val="32"/>
          <w:highlight w:val="none"/>
        </w:rPr>
        <w:t xml:space="preserve"> </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spacing w:line="360" w:lineRule="auto"/>
        <w:rPr>
          <w:rFonts w:hint="eastAsia" w:ascii="宋体" w:hAnsi="宋体" w:eastAsia="宋体" w:cs="宋体"/>
          <w:color w:val="auto"/>
          <w:sz w:val="32"/>
          <w:szCs w:val="32"/>
          <w:highlight w:val="none"/>
        </w:rPr>
      </w:pPr>
      <w:r/>
      <w:bookmarkStart w:id="117" w:name="_Toc24313"/>
      <w:r/>
      <w:bookmarkStart w:id="118" w:name="_Toc32139"/>
      <w:r/>
      <w:bookmarkStart w:id="119" w:name="_Toc30840"/>
      <w:r/>
      <w:bookmarkStart w:id="120" w:name="_Toc17493"/>
      <w:r>
        <w:rPr>
          <w:rFonts w:hint="eastAsia" w:ascii="宋体" w:hAnsi="宋体" w:eastAsia="宋体" w:cs="宋体"/>
          <w:color w:val="auto"/>
          <w:sz w:val="32"/>
          <w:szCs w:val="32"/>
          <w:highlight w:val="none"/>
        </w:rPr>
        <w:t xml:space="preserve">法定代表人授权委托书</w:t>
      </w:r>
      <w:bookmarkEnd w:id="117"/>
      <w:r/>
      <w:bookmarkEnd w:id="118"/>
      <w:r/>
      <w:bookmarkEnd w:id="119"/>
      <w:r/>
      <w:bookmarkEnd w:id="120"/>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江苏金秋工程项目管理有限公司</w:t>
      </w:r>
      <w:r>
        <w:rPr>
          <w:rFonts w:hint="eastAsia" w:ascii="宋体" w:hAnsi="宋体" w:eastAsia="宋体" w:cs="宋体"/>
          <w:color w:val="auto"/>
          <w:sz w:val="24"/>
          <w:szCs w:val="24"/>
          <w:highlight w:val="none"/>
        </w:rPr>
        <w:t xml:space="preserve">：</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在撤销授权的书面通知送达你处以前，本授权书一直有效，被授权代表签署的所有文件（在授权书有效期内签署的）不因授权的撤销而失效。</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被授权代表情况：</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姓名：                       性别：                    电话：               </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授权代表身份证复印件（正反两面均需复印）（骑缝处加盖公章）：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09"/>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vAlign w:val="top"/>
            <w:textDirection w:val="lrTb"/>
            <w:noWrap w:val="false"/>
          </w:tcPr>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授权代表身份证正面复印件</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09" w:type="dxa"/>
            <w:vAlign w:val="top"/>
            <w:textDirection w:val="lrTb"/>
            <w:noWrap w:val="false"/>
          </w:tcPr>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加</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盖</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CA</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电</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子</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7" w:type="dxa"/>
            <w:vAlign w:val="top"/>
            <w:textDirection w:val="lrTb"/>
            <w:noWrap w:val="false"/>
          </w:tcPr>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授权代表身份证反面复印件</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说明：上述证明文件在响应文件中附有授权代表身份证复印件（身份证两面均应复印，身份证复印件加盖公章）时才能生效。</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供应商（加盖CA电子章）：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bookmarkStart w:id="121" w:name="_Toc22640"/>
      <w:r>
        <w:rPr>
          <w:rFonts w:hint="eastAsia" w:ascii="宋体" w:hAnsi="宋体" w:eastAsia="宋体" w:cs="宋体"/>
          <w:color w:val="auto"/>
          <w:sz w:val="24"/>
          <w:szCs w:val="32"/>
          <w:highlight w:val="none"/>
        </w:rPr>
        <w:t xml:space="preserve">附件3 ：</w:t>
      </w:r>
      <w:bookmarkEnd w:id="121"/>
      <w:r/>
      <w:r/>
    </w:p>
    <w:p>
      <w:pPr>
        <w:pStyle w:val="924"/>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参加政府采购活动前 3 年内在经营活动中没有重大违法记录的书面声明</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供应商（加盖CA电子章）：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89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bookmarkStart w:id="122" w:name="_Toc14753"/>
      <w:r/>
      <w:bookmarkStart w:id="123" w:name="_Toc28534"/>
      <w:r/>
      <w:bookmarkStart w:id="124" w:name="_Toc3595"/>
      <w:r/>
      <w:bookmarkStart w:id="125" w:name="_Toc20864"/>
      <w:r>
        <w:rPr>
          <w:rFonts w:hint="eastAsia" w:ascii="宋体" w:hAnsi="宋体" w:eastAsia="宋体" w:cs="宋体"/>
          <w:color w:val="auto"/>
          <w:sz w:val="24"/>
          <w:szCs w:val="32"/>
          <w:highlight w:val="none"/>
        </w:rPr>
        <w:t xml:space="preserve">附件4：</w:t>
      </w:r>
      <w:bookmarkEnd w:id="122"/>
      <w:r/>
      <w:bookmarkEnd w:id="123"/>
      <w:r/>
      <w:bookmarkEnd w:id="124"/>
      <w:r/>
      <w:bookmarkEnd w:id="125"/>
      <w:r>
        <w:rPr>
          <w:rFonts w:hint="eastAsia" w:ascii="宋体" w:hAnsi="宋体" w:eastAsia="宋体" w:cs="宋体"/>
          <w:color w:val="auto"/>
          <w:sz w:val="24"/>
          <w:szCs w:val="32"/>
          <w:highlight w:val="none"/>
        </w:rPr>
        <w:t xml:space="preserve"> </w:t>
      </w:r>
      <w:r/>
    </w:p>
    <w:p>
      <w:pPr>
        <w:pStyle w:val="904"/>
        <w:jc w:val="center"/>
        <w:spacing w:before="0" w:beforeAutospacing="0" w:after="0" w:afterAutospacing="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中小企业声明函 </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（单位名称）的</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8"/>
        </w:numPr>
        <w:ind w:firstLine="42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（标的名称） ，属于</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；承建（承接）企业为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（企业名称），从业人员</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人，营业收入为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万元，资产总额为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万元，属于</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（中型企业、 小型企业、微型企业）； </w:t>
      </w:r>
      <w:r/>
    </w:p>
    <w:p>
      <w:pPr>
        <w:numPr>
          <w:ilvl w:val="0"/>
          <w:numId w:val="8"/>
        </w:numPr>
        <w:ind w:firstLine="42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（标的名称） ，属于</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；承建（承接）企业为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（企业名称），从业人员</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人，营业收入为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万元，资产总额为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万元，属于</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（中型企业、 小型企业、微型企业）； </w:t>
      </w:r>
      <w:r/>
    </w:p>
    <w:p>
      <w:pPr>
        <w:ind w:firstLine="42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w:t>
      </w:r>
      <w:r/>
    </w:p>
    <w:p>
      <w:pPr>
        <w:ind w:firstLine="42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企业名称：                  （加盖CA电子章）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 期：</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说明：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32"/>
          <w:highlight w:val="none"/>
        </w:rPr>
        <w:t xml:space="preserve">2.中小微企业划型标准请对照《关于印发中小企业划型标准规定的通知》（工信部联企业〔2011〕300号</w:t>
      </w:r>
      <w:r>
        <w:rPr>
          <w:rFonts w:hint="eastAsia" w:ascii="宋体" w:hAnsi="宋体" w:eastAsia="宋体" w:cs="宋体"/>
          <w:color w:val="auto"/>
          <w:sz w:val="24"/>
          <w:szCs w:val="32"/>
          <w:highlight w:val="none"/>
          <w:lang w:eastAsia="zh-CN"/>
        </w:rPr>
        <w:t xml:space="preserve">）</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本项目采购标的所属行业为</w:t>
      </w:r>
      <w:r>
        <w:rPr>
          <w:rFonts w:hint="eastAsia" w:ascii="宋体" w:hAnsi="宋体" w:eastAsia="宋体" w:cs="宋体"/>
          <w:color w:val="auto"/>
          <w:sz w:val="24"/>
          <w:szCs w:val="32"/>
          <w:highlight w:val="none"/>
          <w:u w:val="single"/>
          <w:lang w:eastAsia="zh-CN"/>
        </w:rPr>
        <w:t xml:space="preserve">软件和信息技术服务业</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04"/>
        <w:spacing w:before="0" w:beforeAutospacing="0" w:after="0" w:afterAutospacing="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rPr>
        <w:br w:type="page" w:clear="all"/>
      </w:r>
      <w:r>
        <w:rPr>
          <w:rFonts w:hint="eastAsia" w:ascii="宋体" w:hAnsi="宋体" w:eastAsia="宋体" w:cs="宋体"/>
          <w:color w:val="auto"/>
          <w:sz w:val="32"/>
          <w:szCs w:val="32"/>
          <w:highlight w:val="none"/>
        </w:rPr>
        <w:t xml:space="preserve">附件5：</w:t>
      </w:r>
      <w:r/>
    </w:p>
    <w:p>
      <w:pPr>
        <w:pStyle w:val="904"/>
        <w:jc w:val="center"/>
        <w:spacing w:before="0" w:beforeAutospacing="0" w:after="0" w:afterAutospacing="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89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89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企业名称：                  （加盖CA电子章）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 期：</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说明：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1.非残疾人福利性单位不需提供此声明函。</w:t>
      </w:r>
      <w:r/>
    </w:p>
    <w:p>
      <w:pPr>
        <w:pStyle w:val="8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4"/>
        <w:spacing w:before="0" w:beforeAutospacing="0" w:after="0" w:afterAutospacing="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sz w:val="32"/>
          <w:szCs w:val="32"/>
          <w:highlight w:val="none"/>
        </w:rPr>
        <w:t xml:space="preserve">附件6：</w:t>
      </w:r>
      <w:r/>
    </w:p>
    <w:p>
      <w:pPr>
        <w:pStyle w:val="898"/>
        <w:jc w:val="center"/>
        <w:spacing w:beforeAutospacing="0" w:afterAutospacing="0"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监狱企业声明函</w:t>
      </w:r>
      <w:r/>
    </w:p>
    <w:p>
      <w:pPr>
        <w:pStyle w:val="8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根据上述标准，我单位属于监狱企业的理由为：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w:t>
      </w:r>
      <w:r/>
    </w:p>
    <w:p>
      <w:pPr>
        <w:pStyle w:val="89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89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企业名称：                  （加盖CA电子章）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 期：</w:t>
      </w:r>
      <w:r/>
    </w:p>
    <w:p>
      <w:pPr>
        <w:pStyle w:val="8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3.非监狱企业不需提供此声明函。</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904"/>
        <w:spacing w:before="0" w:beforeAutospacing="0" w:after="0" w:afterAutospacing="0"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bookmarkStart w:id="126" w:name="_Toc56409114"/>
      <w:r/>
      <w:bookmarkStart w:id="127" w:name="_Toc54372655"/>
      <w:r/>
      <w:bookmarkStart w:id="128" w:name="_Toc439777159"/>
      <w:r/>
      <w:bookmarkStart w:id="129" w:name="_Toc434481560"/>
      <w:r/>
      <w:bookmarkStart w:id="130" w:name="_Toc56141898"/>
      <w:r/>
      <w:bookmarkStart w:id="131" w:name="_Toc54372237"/>
      <w:r/>
      <w:bookmarkStart w:id="132" w:name="_Toc56153862"/>
      <w:r/>
      <w:bookmarkStart w:id="133" w:name="_Toc56139088"/>
      <w:r/>
      <w:bookmarkStart w:id="134" w:name="_Toc439777351"/>
      <w:r/>
      <w:bookmarkStart w:id="135" w:name="_Toc55705168"/>
      <w:r/>
      <w:bookmarkStart w:id="136" w:name="_Toc59900983"/>
      <w:r/>
      <w:bookmarkStart w:id="137" w:name="_Toc54372071"/>
      <w:r/>
      <w:bookmarkStart w:id="138" w:name="_Toc55654540"/>
      <w:r/>
      <w:bookmarkStart w:id="139" w:name="_Toc55639393"/>
      <w:r/>
      <w:bookmarkStart w:id="140" w:name="_Toc55707673"/>
      <w:r/>
      <w:bookmarkStart w:id="141" w:name="_Toc440442375"/>
      <w:r/>
      <w:bookmarkStart w:id="142" w:name="_Toc59896715"/>
      <w:r>
        <w:rPr>
          <w:rFonts w:hint="eastAsia" w:ascii="宋体" w:hAnsi="宋体" w:eastAsia="宋体" w:cs="宋体"/>
          <w:color w:val="auto"/>
          <w:sz w:val="32"/>
          <w:szCs w:val="32"/>
          <w:highlight w:val="none"/>
        </w:rPr>
        <w:t xml:space="preserve">附件7：</w:t>
      </w:r>
      <w:r/>
    </w:p>
    <w:p>
      <w:pPr>
        <w:pStyle w:val="898"/>
        <w:jc w:val="center"/>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具备履行合同所必需的设备和专业技术能力的书面声明</w:t>
      </w:r>
      <w:r/>
    </w:p>
    <w:p>
      <w:pPr>
        <w:pStyle w:val="898"/>
        <w:jc w:val="center"/>
        <w:spacing w:beforeAutospacing="0" w:afterAutospacing="0"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pStyle w:val="9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bCs/>
          <w:color w:val="auto"/>
          <w:sz w:val="24"/>
          <w:szCs w:val="32"/>
          <w:highlight w:val="none"/>
        </w:rPr>
        <w:t xml:space="preserve">供应商</w:t>
      </w:r>
      <w:r>
        <w:rPr>
          <w:rFonts w:hint="eastAsia" w:ascii="宋体" w:hAnsi="宋体" w:eastAsia="宋体" w:cs="宋体"/>
          <w:color w:val="auto"/>
          <w:sz w:val="24"/>
          <w:szCs w:val="32"/>
          <w:highlight w:val="none"/>
        </w:rPr>
        <w:t xml:space="preserve">（加盖CA电子章）：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法定代表人或授权代表（签字或盖章）：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日期：  年  月  日</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rPr>
          <w:rFonts w:hint="eastAsia" w:ascii="宋体" w:hAnsi="宋体" w:eastAsia="宋体" w:cs="宋体"/>
          <w:color w:val="auto"/>
          <w:sz w:val="24"/>
          <w:szCs w:val="32"/>
          <w:highlight w:val="none"/>
        </w:rPr>
        <w:t xml:space="preserve">附件8：</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磋商响应函</w:t>
      </w:r>
      <w:r/>
    </w:p>
    <w:p>
      <w:pPr>
        <w:pStyle w:val="913"/>
        <w:ind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号磋商文件，正式授权下述签字人_________ （姓名和职务）代表我方______________（供应商的名称），全权处理本项目磋商采购的有关事宜。</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1.按磋商文件规定的各项要求，向采购人提供所需服务。</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2.我们已详细审核全部磋商文件及其有效补充文件，我们知道必须放弃提出含糊不清或误解问题的权利。</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3.我们同意从规定的响应文件接收截止时间起遵循本响应文件，并在规定的磋商有效期期满之前均具有约束力。</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4.如果在响应文件接收截止时间后规定的磋商有效期内撤回响应文件或成交后拒绝签订合同，我们自愿接受政府采购监管机构的处理。</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6.一旦我方成交，我方将根据磋商文件的规定，严格履行合同的责任和义务，并保证在磋商文件规定的时间完成项目，交付采购人验收、使用。</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7.遵守磋商文件中要求的收费项目和标准。</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8.与本磋商采购有关的正式通讯地址为：</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传真：</w:t>
      </w:r>
      <w:r/>
    </w:p>
    <w:p>
      <w:pPr>
        <w:pStyle w:val="924"/>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                 账户： </w:t>
      </w:r>
      <w:r/>
    </w:p>
    <w:p>
      <w:pPr>
        <w:pStyle w:val="9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rPr>
        <w:t xml:space="preserve">（加盖CA电子章）：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p>
    <w:p>
      <w:pPr>
        <w:spacing w:line="360" w:lineRule="auto"/>
        <w:rPr>
          <w:rFonts w:hint="eastAsia" w:ascii="宋体" w:hAnsi="宋体" w:eastAsia="宋体" w:cs="宋体"/>
          <w:color w:val="auto"/>
          <w:sz w:val="24"/>
          <w:szCs w:val="32"/>
          <w:highlight w:val="none"/>
        </w:rPr>
      </w:pPr>
      <w:r/>
      <w:bookmarkStart w:id="143" w:name="_Toc26371"/>
      <w:r/>
      <w:bookmarkStart w:id="144" w:name="_Toc7712"/>
      <w:r/>
      <w:bookmarkStart w:id="145" w:name="_Toc12269"/>
      <w:r>
        <w:rPr>
          <w:rFonts w:hint="eastAsia" w:ascii="宋体" w:hAnsi="宋体" w:eastAsia="宋体" w:cs="宋体"/>
          <w:color w:val="auto"/>
          <w:sz w:val="24"/>
          <w:szCs w:val="32"/>
          <w:highlight w:val="none"/>
        </w:rPr>
        <w:t xml:space="preserve">附件9：</w:t>
      </w:r>
      <w:bookmarkEnd w:id="143"/>
      <w:r/>
      <w:bookmarkEnd w:id="144"/>
      <w:r/>
      <w:bookmarkEnd w:id="145"/>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服务及商务响应偏离表</w:t>
      </w:r>
      <w:r/>
    </w:p>
    <w:tbl>
      <w:tblPr>
        <w:tblStyle w:val="709"/>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序号</w:t>
            </w:r>
            <w:r/>
          </w:p>
        </w:tc>
        <w:tc>
          <w:tcPr>
            <w:tcW w:w="2658" w:type="dxa"/>
            <w:vAlign w:val="center"/>
            <w:textDirection w:val="lrTb"/>
            <w:noWrap w:val="false"/>
          </w:tcPr>
          <w:p>
            <w:pPr>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项目需求</w:t>
            </w:r>
            <w:r/>
          </w:p>
        </w:tc>
        <w:tc>
          <w:tcPr>
            <w:tcW w:w="2759" w:type="dxa"/>
            <w:vAlign w:val="center"/>
            <w:textDirection w:val="lrTb"/>
            <w:noWrap w:val="false"/>
          </w:tcPr>
          <w:p>
            <w:pPr>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响应情况</w:t>
            </w:r>
            <w:r/>
          </w:p>
        </w:tc>
        <w:tc>
          <w:tcPr>
            <w:tcW w:w="2067" w:type="dxa"/>
            <w:vAlign w:val="center"/>
            <w:textDirection w:val="lrTb"/>
            <w:noWrap w:val="false"/>
          </w:tcPr>
          <w:p>
            <w:pPr>
              <w:jc w:val="cente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偏离说明</w:t>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r>
        <w:trPr>
          <w:jc w:val="center"/>
          <w:trHeight w:val="599"/>
        </w:trPr>
        <w:tc>
          <w:tcPr>
            <w:tcW w:w="113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658"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759"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c>
          <w:tcPr>
            <w:tcW w:w="2067" w:type="dxa"/>
            <w:vAlign w:val="center"/>
            <w:textDirection w:val="lrTb"/>
            <w:noWrap w:val="false"/>
          </w:tcPr>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tc>
      </w:tr>
    </w:tbl>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注：</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firstLine="31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2.该表必须按照竞争性磋商要求逐条如实填写，根据响应情况在“偏离说明”项填写正偏离或负偏离及原因，完全符合的填写“无偏离”。</w:t>
      </w:r>
      <w:r/>
    </w:p>
    <w:p>
      <w:pPr>
        <w:ind w:firstLine="31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3.该表可扩展，并逐页签字或盖章。</w:t>
      </w:r>
      <w:r/>
    </w:p>
    <w:p>
      <w:pPr>
        <w:ind w:firstLine="315"/>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4.可附相关技术支撑材料。（格式自定）</w:t>
      </w:r>
      <w:r/>
    </w:p>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bCs/>
          <w:color w:val="auto"/>
          <w:sz w:val="24"/>
          <w:szCs w:val="32"/>
          <w:highlight w:val="none"/>
        </w:rPr>
        <w:t xml:space="preserve">供应商</w:t>
      </w:r>
      <w:r>
        <w:rPr>
          <w:rFonts w:hint="eastAsia" w:ascii="宋体" w:hAnsi="宋体" w:eastAsia="宋体" w:cs="宋体"/>
          <w:color w:val="auto"/>
          <w:sz w:val="24"/>
          <w:szCs w:val="32"/>
          <w:highlight w:val="none"/>
        </w:rPr>
        <w:t xml:space="preserve">（加盖CA电子章）：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法定代表人或授权代表（签字或盖章）：</w:t>
      </w:r>
      <w:r/>
    </w:p>
    <w:p>
      <w:pPr>
        <w:ind w:firstLine="42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日期：  年  月  日</w:t>
      </w:r>
      <w:r/>
    </w:p>
    <w:p>
      <w:pPr>
        <w:jc w:val="left"/>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br w:type="page" w:clear="all"/>
      </w:r>
      <w:r>
        <w:rPr>
          <w:rFonts w:hint="eastAsia" w:ascii="宋体" w:hAnsi="宋体" w:eastAsia="宋体" w:cs="宋体"/>
          <w:color w:val="auto"/>
          <w:sz w:val="24"/>
          <w:szCs w:val="32"/>
          <w:highlight w:val="none"/>
        </w:rPr>
        <w:t xml:space="preserve">附件11：</w:t>
      </w:r>
      <w:r/>
    </w:p>
    <w:p>
      <w:pPr>
        <w:jc w:val="center"/>
        <w:spacing w:line="360" w:lineRule="auto"/>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拟投入项目组人员表</w:t>
      </w:r>
      <w:r/>
    </w:p>
    <w:tbl>
      <w:tblPr>
        <w:tblStyle w:val="709"/>
        <w:tblW w:w="913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4"/>
        <w:gridCol w:w="1338"/>
        <w:gridCol w:w="1029"/>
        <w:gridCol w:w="639"/>
        <w:gridCol w:w="509"/>
        <w:gridCol w:w="1189"/>
        <w:gridCol w:w="749"/>
        <w:gridCol w:w="1586"/>
        <w:gridCol w:w="1246"/>
      </w:tblGrid>
      <w:tr>
        <w:trPr>
          <w:cantSplit/>
          <w:trHeight w:val="494"/>
        </w:trPr>
        <w:tc>
          <w:tcPr>
            <w:tcBorders>
              <w:bottom w:val="none" w:color="000000" w:sz="4" w:space="0"/>
            </w:tcBorders>
            <w:tcW w:w="854" w:type="dxa"/>
            <w:vAlign w:val="center"/>
            <w:vMerge w:val="restart"/>
            <w:textDirection w:val="lrTb"/>
            <w:noWrap w:val="false"/>
          </w:tcPr>
          <w:p>
            <w:pPr>
              <w:ind w:left="174"/>
              <w:jc w:val="center"/>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序号</w:t>
            </w:r>
            <w:r/>
          </w:p>
        </w:tc>
        <w:tc>
          <w:tcPr>
            <w:tcBorders>
              <w:bottom w:val="none" w:color="000000" w:sz="4" w:space="0"/>
            </w:tcBorders>
            <w:tcW w:w="1338" w:type="dxa"/>
            <w:vAlign w:val="center"/>
            <w:vMerge w:val="restart"/>
            <w:textDirection w:val="lrTb"/>
            <w:noWrap w:val="false"/>
          </w:tcPr>
          <w:p>
            <w:pPr>
              <w:ind w:left="130"/>
              <w:jc w:val="center"/>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本项目任职</w:t>
            </w:r>
            <w:r/>
          </w:p>
        </w:tc>
        <w:tc>
          <w:tcPr>
            <w:tcBorders>
              <w:bottom w:val="none" w:color="000000" w:sz="4" w:space="0"/>
            </w:tcBorders>
            <w:tcW w:w="1029" w:type="dxa"/>
            <w:vAlign w:val="center"/>
            <w:vMerge w:val="restart"/>
            <w:textDirection w:val="lrTb"/>
            <w:noWrap w:val="false"/>
          </w:tcPr>
          <w:p>
            <w:pPr>
              <w:ind w:left="283"/>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姓名</w:t>
            </w:r>
            <w:r/>
          </w:p>
        </w:tc>
        <w:tc>
          <w:tcPr>
            <w:tcBorders>
              <w:bottom w:val="none" w:color="000000" w:sz="4" w:space="0"/>
            </w:tcBorders>
            <w:tcW w:w="639" w:type="dxa"/>
            <w:vAlign w:val="center"/>
            <w:vMerge w:val="restart"/>
            <w:textDirection w:val="lrTb"/>
            <w:noWrap w:val="false"/>
          </w:tcPr>
          <w:p>
            <w:pPr>
              <w:ind w:left="104"/>
              <w:jc w:val="center"/>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职称</w:t>
            </w:r>
            <w:r/>
          </w:p>
        </w:tc>
        <w:tc>
          <w:tcPr>
            <w:tcBorders>
              <w:bottom w:val="none" w:color="000000" w:sz="4" w:space="0"/>
            </w:tcBorders>
            <w:tcW w:w="509" w:type="dxa"/>
            <w:vAlign w:val="center"/>
            <w:vMerge w:val="restart"/>
            <w:textDirection w:val="tbRlV"/>
            <w:noWrap w:val="false"/>
          </w:tcPr>
          <w:p>
            <w:pPr>
              <w:jc w:val="center"/>
              <w:spacing w:before="121"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专业</w:t>
            </w:r>
            <w:r/>
          </w:p>
        </w:tc>
        <w:tc>
          <w:tcPr>
            <w:gridSpan w:val="3"/>
            <w:tcW w:w="3524" w:type="dxa"/>
            <w:vAlign w:val="center"/>
            <w:textDirection w:val="lrTb"/>
            <w:noWrap w:val="false"/>
          </w:tcPr>
          <w:p>
            <w:pPr>
              <w:ind w:left="475"/>
              <w:jc w:val="center"/>
              <w:spacing w:before="23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执业或职业资格证明</w:t>
            </w:r>
            <w:r/>
          </w:p>
        </w:tc>
        <w:tc>
          <w:tcPr>
            <w:tcW w:w="1246" w:type="dxa"/>
            <w:vAlign w:val="center"/>
            <w:vMerge w:val="restart"/>
            <w:textDirection w:val="lrTb"/>
            <w:noWrap w:val="false"/>
          </w:tcPr>
          <w:p>
            <w:pPr>
              <w:jc w:val="center"/>
              <w:spacing w:before="22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备注</w:t>
            </w:r>
            <w:r/>
          </w:p>
        </w:tc>
      </w:tr>
      <w:tr>
        <w:trPr>
          <w:cantSplit/>
          <w:trHeight w:val="489"/>
        </w:trPr>
        <w:tc>
          <w:tcPr>
            <w:tcBorders>
              <w:top w:val="none" w:color="000000" w:sz="4" w:space="0"/>
            </w:tcBorders>
            <w:tcW w:w="854" w:type="dxa"/>
            <w:vAlign w:val="center"/>
            <w:vMerge w:val="continue"/>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338" w:type="dxa"/>
            <w:vAlign w:val="center"/>
            <w:vMerge w:val="continue"/>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1029" w:type="dxa"/>
            <w:vAlign w:val="center"/>
            <w:vMerge w:val="continue"/>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639" w:type="dxa"/>
            <w:vAlign w:val="center"/>
            <w:vMerge w:val="continue"/>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tcBorders>
            <w:tcW w:w="509" w:type="dxa"/>
            <w:vAlign w:val="center"/>
            <w:vMerge w:val="continue"/>
            <w:textDirection w:val="tbRlV"/>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ind w:left="145"/>
              <w:jc w:val="center"/>
              <w:spacing w:before="21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证书名称</w:t>
            </w:r>
            <w:r/>
          </w:p>
        </w:tc>
        <w:tc>
          <w:tcPr>
            <w:tcW w:w="749" w:type="dxa"/>
            <w:vAlign w:val="center"/>
            <w:textDirection w:val="lrTb"/>
            <w:noWrap w:val="false"/>
          </w:tcPr>
          <w:p>
            <w:pPr>
              <w:ind w:left="127"/>
              <w:jc w:val="center"/>
              <w:spacing w:before="21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级别</w:t>
            </w:r>
            <w:r/>
          </w:p>
        </w:tc>
        <w:tc>
          <w:tcPr>
            <w:tcW w:w="1586" w:type="dxa"/>
            <w:vAlign w:val="center"/>
            <w:textDirection w:val="lrTb"/>
            <w:noWrap w:val="false"/>
          </w:tcPr>
          <w:p>
            <w:pPr>
              <w:ind w:left="208"/>
              <w:jc w:val="center"/>
              <w:spacing w:before="21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证号</w:t>
            </w:r>
            <w:r/>
          </w:p>
        </w:tc>
        <w:tc>
          <w:tcPr>
            <w:tcW w:w="1246" w:type="dxa"/>
            <w:vAlign w:val="center"/>
            <w:vMerge w:val="continue"/>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8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0"/>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9"/>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4"/>
        </w:trPr>
        <w:tc>
          <w:tcPr>
            <w:tcW w:w="854"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38"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3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8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9"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8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6" w:type="dxa"/>
            <w:vAlign w:val="center"/>
            <w:textDirection w:val="lrTb"/>
            <w:noWrap w:val="false"/>
          </w:tcPr>
          <w:p>
            <w:pPr>
              <w:pStyle w:val="928"/>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715"/>
        <w:ind w:left="0" w:firstLine="0"/>
        <w:jc w:val="center"/>
        <w:spacing w:line="360" w:lineRule="auto"/>
        <w:rPr>
          <w:rFonts w:hint="eastAsia" w:ascii="宋体" w:hAnsi="宋体" w:eastAsia="宋体" w:cs="宋体"/>
          <w:color w:val="auto"/>
          <w:sz w:val="32"/>
          <w:szCs w:val="40"/>
          <w:highlight w:val="none"/>
          <w:lang w:val="en-US" w:eastAsia="zh-CN"/>
        </w:rPr>
      </w:pPr>
      <w:r>
        <w:rPr>
          <w:rFonts w:hint="eastAsia" w:ascii="宋体" w:hAnsi="宋体" w:eastAsia="宋体" w:cs="宋体"/>
          <w:color w:val="auto"/>
          <w:sz w:val="32"/>
          <w:szCs w:val="40"/>
          <w:highlight w:val="none"/>
          <w:lang w:val="en-US" w:eastAsia="zh-CN"/>
        </w:rPr>
        <w:t xml:space="preserve">承诺书</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913"/>
        <w:ind w:firstLine="0"/>
        <w:spacing w:line="360" w:lineRule="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（采购人）</w:t>
      </w:r>
      <w:r/>
    </w:p>
    <w:p>
      <w:pP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本单位作出以下承诺：</w:t>
      </w:r>
      <w:r/>
    </w:p>
    <w:p>
      <w:pPr>
        <w:jc w:val="left"/>
        <w:keepLines w:val="0"/>
        <w:keepNext/>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1、免费质保期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年；</w:t>
      </w:r>
      <w:r/>
    </w:p>
    <w:p>
      <w:pPr>
        <w:jc w:val="left"/>
        <w:keepLines w:val="0"/>
        <w:keepNext/>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2、承诺在泰州设有本地化服务网点或合作网点；</w:t>
      </w:r>
      <w:r/>
    </w:p>
    <w:p>
      <w:pPr>
        <w:jc w:val="left"/>
        <w:keepLines w:val="0"/>
        <w:keepNext/>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3、承诺质保期满后免费提供系统升级服务（含法规更新、功能优化）。</w:t>
      </w:r>
      <w:r/>
    </w:p>
    <w:p>
      <w:pPr>
        <w:ind w:firstLine="42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供应商</w:t>
      </w:r>
      <w:r>
        <w:rPr>
          <w:rFonts w:hint="eastAsia" w:ascii="宋体" w:hAnsi="宋体" w:eastAsia="宋体" w:cs="宋体"/>
          <w:color w:val="auto"/>
          <w:sz w:val="28"/>
          <w:szCs w:val="28"/>
          <w:highlight w:val="none"/>
        </w:rPr>
        <w:t xml:space="preserve">（加盖CA电子章）：</w:t>
      </w:r>
      <w:r/>
    </w:p>
    <w:p>
      <w:pPr>
        <w:ind w:firstLine="42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even" r:id="rId9"/>
      <w:footerReference w:type="default" r:id="rId10"/>
      <w:footnotePr/>
      <w:endnotePr/>
      <w:type w:val="nextPage"/>
      <w:pgSz w:w="11906" w:h="16838" w:orient="portrait"/>
      <w:pgMar w:top="1417" w:right="1701"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Adobe 仿宋 Std R">
    <w:panose1 w:val="020B0503020202020204"/>
  </w:font>
  <w:font w:name="Cambria">
    <w:panose1 w:val="02040503050406030204"/>
  </w:font>
  <w:font w:name="Courier New">
    <w:panose1 w:val="02070309020205020404"/>
  </w:font>
  <w:font w:name="Gill Sans">
    <w:panose1 w:val="020B0506020104020203"/>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a:effectLst/>
                    </wps:spPr>
                    <wps:txbx>
                      <w:txbxContent>
                        <w:p>
                          <w:pPr>
                            <w:pStyle w:val="901"/>
                          </w:pPr>
                          <w:r>
                            <w:fldChar w:fldCharType="begin"/>
                          </w:r>
                          <w:r>
                            <w:instrText xml:space="preserve"> PAGE  \* MERGEFORMAT </w:instrText>
                          </w:r>
                          <w:r>
                            <w:fldChar w:fldCharType="separate"/>
                          </w:r>
                          <w:r>
                            <w:t xml:space="preserve">5</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text-anchor:top;visibility:visible;" filled="f" stroked="f" strokeweight="0.50pt">
              <v:textbox inset="0,0,0,0">
                <w:txbxContent>
                  <w:p>
                    <w:pPr>
                      <w:pStyle w:val="901"/>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4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425"/>
      </w:pPr>
      <w:rPr>
        <w:rFonts w:hint="eastAsia"/>
      </w:rPr>
    </w:lvl>
    <w:lvl w:ilvl="1">
      <w:start w:val="1"/>
      <w:numFmt w:val="decimal"/>
      <w:isLgl w:val="false"/>
      <w:suff w:val="tab"/>
      <w:lvlText w:val="%1.%2"/>
      <w:lvlJc w:val="left"/>
      <w:pPr>
        <w:ind w:left="992" w:hanging="567"/>
      </w:pPr>
      <w:rPr>
        <w:rFonts w:hint="eastAsia"/>
      </w:rPr>
    </w:lvl>
    <w:lvl w:ilvl="2">
      <w:start w:val="1"/>
      <w:numFmt w:val="decimal"/>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5">
    <w:multiLevelType w:val="hybridMultilevel"/>
    <w:lvl w:ilvl="0">
      <w:start w:val="1"/>
      <w:numFmt w:val="decimal"/>
      <w:isLgl w:val="false"/>
      <w:suff w:val="nothing"/>
      <w:lvlText w:val="%1"/>
      <w:lvlJc w:val="left"/>
      <w:pPr>
        <w:ind w:left="448" w:hanging="440"/>
      </w:pPr>
      <w:rPr>
        <w:rFonts w:hint="eastAsia"/>
      </w:rPr>
    </w:lvl>
    <w:lvl w:ilvl="1">
      <w:start w:val="1"/>
      <w:numFmt w:val="lowerLetter"/>
      <w:isLgl w:val="false"/>
      <w:suff w:val="tab"/>
      <w:lvlText w:val="%2)"/>
      <w:lvlJc w:val="left"/>
      <w:pPr>
        <w:ind w:left="888" w:hanging="440"/>
      </w:pPr>
    </w:lvl>
    <w:lvl w:ilvl="2">
      <w:start w:val="1"/>
      <w:numFmt w:val="lowerRoman"/>
      <w:isLgl w:val="false"/>
      <w:suff w:val="tab"/>
      <w:lvlText w:val="%3."/>
      <w:lvlJc w:val="right"/>
      <w:pPr>
        <w:ind w:left="1328" w:hanging="440"/>
      </w:pPr>
    </w:lvl>
    <w:lvl w:ilvl="3">
      <w:start w:val="1"/>
      <w:numFmt w:val="decimal"/>
      <w:isLgl w:val="false"/>
      <w:suff w:val="tab"/>
      <w:lvlText w:val="%4."/>
      <w:lvlJc w:val="left"/>
      <w:pPr>
        <w:ind w:left="1768" w:hanging="440"/>
      </w:pPr>
    </w:lvl>
    <w:lvl w:ilvl="4">
      <w:start w:val="1"/>
      <w:numFmt w:val="lowerLetter"/>
      <w:isLgl w:val="false"/>
      <w:suff w:val="tab"/>
      <w:lvlText w:val="%5)"/>
      <w:lvlJc w:val="left"/>
      <w:pPr>
        <w:ind w:left="2208" w:hanging="440"/>
      </w:pPr>
    </w:lvl>
    <w:lvl w:ilvl="5">
      <w:start w:val="1"/>
      <w:numFmt w:val="lowerRoman"/>
      <w:isLgl w:val="false"/>
      <w:suff w:val="tab"/>
      <w:lvlText w:val="%6."/>
      <w:lvlJc w:val="right"/>
      <w:pPr>
        <w:ind w:left="2648" w:hanging="440"/>
      </w:pPr>
    </w:lvl>
    <w:lvl w:ilvl="6">
      <w:start w:val="1"/>
      <w:numFmt w:val="decimal"/>
      <w:isLgl w:val="false"/>
      <w:suff w:val="tab"/>
      <w:lvlText w:val="%7."/>
      <w:lvlJc w:val="left"/>
      <w:pPr>
        <w:ind w:left="3088" w:hanging="440"/>
      </w:pPr>
    </w:lvl>
    <w:lvl w:ilvl="7">
      <w:start w:val="1"/>
      <w:numFmt w:val="lowerLetter"/>
      <w:isLgl w:val="false"/>
      <w:suff w:val="tab"/>
      <w:lvlText w:val="%8)"/>
      <w:lvlJc w:val="left"/>
      <w:pPr>
        <w:ind w:left="3528" w:hanging="440"/>
      </w:pPr>
    </w:lvl>
    <w:lvl w:ilvl="8">
      <w:start w:val="1"/>
      <w:numFmt w:val="lowerRoman"/>
      <w:isLgl w:val="false"/>
      <w:suff w:val="tab"/>
      <w:lvlText w:val="%9."/>
      <w:lvlJc w:val="right"/>
      <w:pPr>
        <w:ind w:left="3968" w:hanging="440"/>
      </w:pPr>
    </w:lvl>
  </w:abstractNum>
  <w:abstractNum w:abstractNumId="6">
    <w:multiLevelType w:val="hybridMultilevel"/>
    <w:lvl w:ilvl="0">
      <w:start w:val="1"/>
      <w:numFmt w:val="decimal"/>
      <w:isLgl w:val="false"/>
      <w:suff w:val="nothing"/>
      <w:lvlText w:val="%1"/>
      <w:lvlJc w:val="left"/>
      <w:pPr>
        <w:ind w:left="448" w:hanging="440"/>
      </w:pPr>
      <w:rPr>
        <w:rFonts w:hint="eastAsia"/>
      </w:rPr>
    </w:lvl>
    <w:lvl w:ilvl="1">
      <w:start w:val="1"/>
      <w:numFmt w:val="lowerLetter"/>
      <w:isLgl w:val="false"/>
      <w:suff w:val="tab"/>
      <w:lvlText w:val="%2)"/>
      <w:lvlJc w:val="left"/>
      <w:pPr>
        <w:ind w:left="888" w:hanging="440"/>
      </w:pPr>
      <w:rPr>
        <w:rFonts w:hint="eastAsia"/>
      </w:rPr>
    </w:lvl>
    <w:lvl w:ilvl="2">
      <w:start w:val="1"/>
      <w:numFmt w:val="lowerRoman"/>
      <w:isLgl w:val="false"/>
      <w:suff w:val="tab"/>
      <w:lvlText w:val="%3."/>
      <w:lvlJc w:val="right"/>
      <w:pPr>
        <w:ind w:left="1328" w:hanging="440"/>
      </w:pPr>
      <w:rPr>
        <w:rFonts w:hint="eastAsia"/>
      </w:rPr>
    </w:lvl>
    <w:lvl w:ilvl="3">
      <w:start w:val="1"/>
      <w:numFmt w:val="decimal"/>
      <w:isLgl w:val="false"/>
      <w:suff w:val="tab"/>
      <w:lvlText w:val="%4."/>
      <w:lvlJc w:val="left"/>
      <w:pPr>
        <w:ind w:left="1768" w:hanging="440"/>
      </w:pPr>
      <w:rPr>
        <w:rFonts w:hint="eastAsia"/>
      </w:rPr>
    </w:lvl>
    <w:lvl w:ilvl="4">
      <w:start w:val="1"/>
      <w:numFmt w:val="lowerLetter"/>
      <w:isLgl w:val="false"/>
      <w:suff w:val="tab"/>
      <w:lvlText w:val="%5)"/>
      <w:lvlJc w:val="left"/>
      <w:pPr>
        <w:ind w:left="2208" w:hanging="440"/>
      </w:pPr>
      <w:rPr>
        <w:rFonts w:hint="eastAsia"/>
      </w:rPr>
    </w:lvl>
    <w:lvl w:ilvl="5">
      <w:start w:val="1"/>
      <w:numFmt w:val="lowerRoman"/>
      <w:isLgl w:val="false"/>
      <w:suff w:val="tab"/>
      <w:lvlText w:val="%6."/>
      <w:lvlJc w:val="right"/>
      <w:pPr>
        <w:ind w:left="2648" w:hanging="440"/>
      </w:pPr>
      <w:rPr>
        <w:rFonts w:hint="eastAsia"/>
      </w:rPr>
    </w:lvl>
    <w:lvl w:ilvl="6">
      <w:start w:val="1"/>
      <w:numFmt w:val="decimal"/>
      <w:isLgl w:val="false"/>
      <w:suff w:val="tab"/>
      <w:lvlText w:val="%7."/>
      <w:lvlJc w:val="left"/>
      <w:pPr>
        <w:ind w:left="3088" w:hanging="440"/>
      </w:pPr>
      <w:rPr>
        <w:rFonts w:hint="eastAsia"/>
      </w:rPr>
    </w:lvl>
    <w:lvl w:ilvl="7">
      <w:start w:val="1"/>
      <w:numFmt w:val="lowerLetter"/>
      <w:isLgl w:val="false"/>
      <w:suff w:val="tab"/>
      <w:lvlText w:val="%8)"/>
      <w:lvlJc w:val="left"/>
      <w:pPr>
        <w:ind w:left="3528" w:hanging="440"/>
      </w:pPr>
      <w:rPr>
        <w:rFonts w:hint="eastAsia"/>
      </w:rPr>
    </w:lvl>
    <w:lvl w:ilvl="8">
      <w:start w:val="1"/>
      <w:numFmt w:val="lowerRoman"/>
      <w:isLgl w:val="false"/>
      <w:suff w:val="tab"/>
      <w:lvlText w:val="%9."/>
      <w:lvlJc w:val="right"/>
      <w:pPr>
        <w:ind w:left="3968" w:hanging="440"/>
      </w:pPr>
      <w:rPr>
        <w:rFonts w:hint="eastAsia"/>
      </w:rPr>
    </w:lvl>
  </w:abstractNum>
  <w:abstractNum w:abstractNumId="7">
    <w:multiLevelType w:val="hybridMultilevel"/>
    <w:lvl w:ilvl="0">
      <w:start w:val="1"/>
      <w:numFmt w:val="chineseCounting"/>
      <w:isLgl w:val="false"/>
      <w:suff w:val="nothing"/>
      <w:lvlText w:val="%1、"/>
      <w:lvlJc w:val="left"/>
      <w:pPr>
        <w:ind w:left="0" w:firstLine="420"/>
      </w:pPr>
      <w:rPr>
        <w:rFonts w:hint="eastAsia" w:ascii="仿宋" w:hAnsi="仿宋" w:eastAsia="仿宋" w:cs="仿宋"/>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2"/>
  </w:num>
  <w:num w:numId="4">
    <w:abstractNumId w:val="4"/>
  </w:num>
  <w:num w:numId="5">
    <w:abstractNumId w:val="6"/>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925"/>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699">
    <w:name w:val="Heading 1"/>
    <w:basedOn w:val="698"/>
    <w:next w:val="698"/>
    <w:link w:val="741"/>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2"/>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4"/>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5"/>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6"/>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9"/>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Normal Indent"/>
    <w:basedOn w:val="698"/>
    <w:uiPriority w:val="0"/>
    <w:qFormat/>
    <w:pPr>
      <w:ind w:firstLine="420"/>
    </w:p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8"/>
    <w:uiPriority w:val="0"/>
    <w:qFormat/>
    <w:pPr>
      <w:jc w:val="left"/>
    </w:pPr>
  </w:style>
  <w:style w:type="paragraph" w:styleId="714">
    <w:name w:val="Body Text"/>
    <w:basedOn w:val="698"/>
    <w:uiPriority w:val="0"/>
    <w:qFormat/>
    <w:rPr>
      <w:rFonts w:ascii="楷体_GB2312" w:hAnsi="Arial" w:eastAsia="楷体_GB2312"/>
      <w:sz w:val="28"/>
      <w:szCs w:val="20"/>
    </w:rPr>
  </w:style>
  <w:style w:type="paragraph" w:styleId="715">
    <w:name w:val="Body Text Indent"/>
    <w:basedOn w:val="698"/>
    <w:next w:val="698"/>
    <w:uiPriority w:val="0"/>
    <w:qFormat/>
    <w:pPr>
      <w:ind w:left="1050"/>
      <w:spacing w:line="500" w:lineRule="exact"/>
    </w:pPr>
    <w:rPr>
      <w:rFonts w:ascii="仿宋_GB2312" w:eastAsia="仿宋_GB2312"/>
      <w:sz w:val="28"/>
    </w:rPr>
  </w:style>
  <w:style w:type="paragraph" w:styleId="716">
    <w:name w:val="Block Text"/>
    <w:basedOn w:val="698"/>
    <w:uiPriority w:val="0"/>
    <w:unhideWhenUsed/>
    <w:qFormat/>
    <w:rPr>
      <w:rFonts w:eastAsia="微软雅黑"/>
    </w:rPr>
  </w:style>
  <w:style w:type="paragraph" w:styleId="717">
    <w:name w:val="toc 5"/>
    <w:basedOn w:val="698"/>
    <w:next w:val="698"/>
    <w:uiPriority w:val="39"/>
    <w:unhideWhenUsed/>
    <w:qFormat/>
    <w:pPr>
      <w:ind w:left="1134" w:right="0" w:firstLine="0"/>
      <w:spacing w:after="57"/>
    </w:pPr>
  </w:style>
  <w:style w:type="paragraph" w:styleId="718">
    <w:name w:val="toc 3"/>
    <w:basedOn w:val="698"/>
    <w:next w:val="698"/>
    <w:uiPriority w:val="39"/>
    <w:unhideWhenUsed/>
    <w:qFormat/>
    <w:pPr>
      <w:ind w:left="567" w:right="0" w:firstLine="0"/>
      <w:spacing w:after="57"/>
    </w:pPr>
  </w:style>
  <w:style w:type="paragraph" w:styleId="719">
    <w:name w:val="Plain Text"/>
    <w:basedOn w:val="698"/>
    <w:next w:val="711"/>
    <w:uiPriority w:val="0"/>
    <w:qFormat/>
    <w:rPr>
      <w:rFonts w:ascii="宋体" w:hAnsi="Courier New"/>
    </w:rPr>
  </w:style>
  <w:style w:type="paragraph" w:styleId="720">
    <w:name w:val="toc 8"/>
    <w:basedOn w:val="698"/>
    <w:next w:val="698"/>
    <w:uiPriority w:val="39"/>
    <w:unhideWhenUsed/>
    <w:qFormat/>
    <w:pPr>
      <w:ind w:left="1984" w:right="0" w:firstLine="0"/>
      <w:spacing w:after="57"/>
    </w:pPr>
  </w:style>
  <w:style w:type="paragraph" w:styleId="721">
    <w:name w:val="Body Text Indent 2"/>
    <w:basedOn w:val="698"/>
    <w:uiPriority w:val="0"/>
    <w:qFormat/>
    <w:pPr>
      <w:ind w:left="630" w:firstLine="645"/>
    </w:pPr>
    <w:rPr>
      <w:rFonts w:ascii="Arial" w:hAnsi="Arial" w:eastAsia="仿宋_GB2312"/>
      <w:sz w:val="32"/>
      <w:szCs w:val="32"/>
    </w:rPr>
  </w:style>
  <w:style w:type="paragraph" w:styleId="722">
    <w:name w:val="endnote text"/>
    <w:basedOn w:val="698"/>
    <w:link w:val="887"/>
    <w:uiPriority w:val="99"/>
    <w:semiHidden/>
    <w:unhideWhenUsed/>
    <w:qFormat/>
    <w:pPr>
      <w:spacing w:after="0" w:line="240" w:lineRule="auto"/>
    </w:pPr>
    <w:rPr>
      <w:sz w:val="20"/>
    </w:rPr>
  </w:style>
  <w:style w:type="paragraph" w:styleId="723">
    <w:name w:val="Footer"/>
    <w:basedOn w:val="698"/>
    <w:link w:val="760"/>
    <w:uiPriority w:val="99"/>
    <w:unhideWhenUsed/>
    <w:qFormat/>
    <w:pPr>
      <w:spacing w:after="0" w:line="240" w:lineRule="auto"/>
      <w:tabs>
        <w:tab w:val="center" w:pos="7143" w:leader="none"/>
        <w:tab w:val="right" w:pos="14287" w:leader="none"/>
      </w:tabs>
    </w:pPr>
  </w:style>
  <w:style w:type="paragraph" w:styleId="724">
    <w:name w:val="Header"/>
    <w:basedOn w:val="698"/>
    <w:link w:val="758"/>
    <w:uiPriority w:val="99"/>
    <w:unhideWhenUsed/>
    <w:qFormat/>
    <w:pPr>
      <w:spacing w:after="0" w:line="240" w:lineRule="auto"/>
      <w:tabs>
        <w:tab w:val="center" w:pos="7143" w:leader="none"/>
        <w:tab w:val="right" w:pos="14287" w:leader="none"/>
      </w:tabs>
    </w:pPr>
  </w:style>
  <w:style w:type="paragraph" w:styleId="725">
    <w:name w:val="toc 1"/>
    <w:basedOn w:val="698"/>
    <w:next w:val="698"/>
    <w:uiPriority w:val="39"/>
    <w:unhideWhenUsed/>
    <w:qFormat/>
    <w:pPr>
      <w:ind w:left="0" w:right="0" w:firstLine="0"/>
      <w:spacing w:after="57"/>
    </w:pPr>
  </w:style>
  <w:style w:type="paragraph" w:styleId="726">
    <w:name w:val="toc 4"/>
    <w:basedOn w:val="698"/>
    <w:next w:val="698"/>
    <w:uiPriority w:val="39"/>
    <w:unhideWhenUsed/>
    <w:qFormat/>
    <w:pPr>
      <w:ind w:left="850" w:right="0" w:firstLine="0"/>
      <w:spacing w:after="57"/>
    </w:pPr>
  </w:style>
  <w:style w:type="paragraph" w:styleId="727">
    <w:name w:val="Subtitle"/>
    <w:basedOn w:val="698"/>
    <w:next w:val="698"/>
    <w:link w:val="753"/>
    <w:uiPriority w:val="11"/>
    <w:qFormat/>
    <w:pPr>
      <w:spacing w:before="200" w:after="200"/>
    </w:pPr>
    <w:rPr>
      <w:sz w:val="24"/>
      <w:szCs w:val="24"/>
    </w:rPr>
  </w:style>
  <w:style w:type="paragraph" w:styleId="728">
    <w:name w:val="footnote text"/>
    <w:basedOn w:val="698"/>
    <w:link w:val="886"/>
    <w:uiPriority w:val="99"/>
    <w:semiHidden/>
    <w:unhideWhenUsed/>
    <w:qFormat/>
    <w:pPr>
      <w:spacing w:after="40" w:line="240" w:lineRule="auto"/>
    </w:pPr>
    <w:rPr>
      <w:sz w:val="18"/>
    </w:rPr>
  </w:style>
  <w:style w:type="paragraph" w:styleId="729">
    <w:name w:val="toc 6"/>
    <w:basedOn w:val="698"/>
    <w:next w:val="698"/>
    <w:uiPriority w:val="39"/>
    <w:unhideWhenUsed/>
    <w:qFormat/>
    <w:pPr>
      <w:ind w:left="1417" w:right="0" w:firstLine="0"/>
      <w:spacing w:after="57"/>
    </w:pPr>
  </w:style>
  <w:style w:type="paragraph" w:styleId="730">
    <w:name w:val="table of figures"/>
    <w:basedOn w:val="698"/>
    <w:next w:val="698"/>
    <w:uiPriority w:val="99"/>
    <w:unhideWhenUsed/>
    <w:qFormat/>
    <w:pPr>
      <w:spacing w:after="0" w:afterAutospacing="0"/>
    </w:pPr>
  </w:style>
  <w:style w:type="paragraph" w:styleId="731">
    <w:name w:val="toc 2"/>
    <w:basedOn w:val="698"/>
    <w:next w:val="698"/>
    <w:uiPriority w:val="39"/>
    <w:unhideWhenUsed/>
    <w:qFormat/>
    <w:pPr>
      <w:ind w:left="283" w:right="0" w:firstLine="0"/>
      <w:spacing w:after="57"/>
    </w:pPr>
  </w:style>
  <w:style w:type="paragraph" w:styleId="732">
    <w:name w:val="toc 9"/>
    <w:basedOn w:val="698"/>
    <w:next w:val="698"/>
    <w:uiPriority w:val="39"/>
    <w:unhideWhenUsed/>
    <w:qFormat/>
    <w:pPr>
      <w:ind w:left="2268" w:right="0" w:firstLine="0"/>
      <w:spacing w:after="57"/>
    </w:pPr>
  </w:style>
  <w:style w:type="paragraph" w:styleId="733">
    <w:name w:val="Normal (Web)"/>
    <w:basedOn w:val="698"/>
    <w:uiPriority w:val="0"/>
    <w:qFormat/>
    <w:pPr>
      <w:ind w:left="0" w:right="0"/>
      <w:jc w:val="left"/>
      <w:spacing w:before="100" w:beforeAutospacing="1" w:after="100" w:afterAutospacing="1"/>
    </w:pPr>
    <w:rPr>
      <w:sz w:val="24"/>
      <w:lang w:val="en-US" w:eastAsia="zh-CN" w:bidi="ar"/>
    </w:rPr>
  </w:style>
  <w:style w:type="paragraph" w:styleId="734">
    <w:name w:val="Title"/>
    <w:basedOn w:val="698"/>
    <w:next w:val="698"/>
    <w:link w:val="752"/>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08"/>
    <w:uiPriority w:val="0"/>
    <w:qFormat/>
    <w:rPr>
      <w:b/>
    </w:rPr>
  </w:style>
  <w:style w:type="character" w:styleId="737">
    <w:name w:val="endnote reference"/>
    <w:uiPriority w:val="99"/>
    <w:semiHidden/>
    <w:unhideWhenUsed/>
    <w:qFormat/>
    <w:rPr>
      <w:vertAlign w:val="superscript"/>
    </w:rPr>
  </w:style>
  <w:style w:type="character" w:styleId="738">
    <w:name w:val="page number"/>
    <w:basedOn w:val="708"/>
    <w:uiPriority w:val="0"/>
    <w:qFormat/>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699"/>
    <w:uiPriority w:val="9"/>
    <w:qFormat/>
    <w:rPr>
      <w:rFonts w:ascii="Arial" w:hAnsi="Arial" w:eastAsia="Arial" w:cs="Arial"/>
      <w:sz w:val="40"/>
      <w:szCs w:val="40"/>
    </w:rPr>
  </w:style>
  <w:style w:type="character" w:styleId="742" w:customStyle="1">
    <w:name w:val="Heading 2 Char"/>
    <w:link w:val="700"/>
    <w:uiPriority w:val="9"/>
    <w:qFormat/>
    <w:rPr>
      <w:rFonts w:ascii="Arial" w:hAnsi="Arial" w:eastAsia="Arial" w:cs="Arial"/>
      <w:sz w:val="34"/>
    </w:rPr>
  </w:style>
  <w:style w:type="character" w:styleId="743" w:customStyle="1">
    <w:name w:val="Heading 3 Char"/>
    <w:link w:val="701"/>
    <w:uiPriority w:val="9"/>
    <w:qFormat/>
    <w:rPr>
      <w:rFonts w:ascii="Arial" w:hAnsi="Arial" w:eastAsia="Arial" w:cs="Arial"/>
      <w:sz w:val="30"/>
      <w:szCs w:val="30"/>
    </w:rPr>
  </w:style>
  <w:style w:type="character" w:styleId="744" w:customStyle="1">
    <w:name w:val="Heading 4 Char"/>
    <w:link w:val="702"/>
    <w:uiPriority w:val="9"/>
    <w:qFormat/>
    <w:rPr>
      <w:rFonts w:ascii="Arial" w:hAnsi="Arial" w:eastAsia="Arial" w:cs="Arial"/>
      <w:b/>
      <w:bCs/>
      <w:sz w:val="26"/>
      <w:szCs w:val="26"/>
    </w:rPr>
  </w:style>
  <w:style w:type="character" w:styleId="745" w:customStyle="1">
    <w:name w:val="Heading 5 Char"/>
    <w:link w:val="703"/>
    <w:uiPriority w:val="9"/>
    <w:qFormat/>
    <w:rPr>
      <w:rFonts w:ascii="Arial" w:hAnsi="Arial" w:eastAsia="Arial" w:cs="Arial"/>
      <w:b/>
      <w:bCs/>
      <w:sz w:val="24"/>
      <w:szCs w:val="24"/>
    </w:rPr>
  </w:style>
  <w:style w:type="character" w:styleId="746" w:customStyle="1">
    <w:name w:val="Heading 6 Char"/>
    <w:link w:val="704"/>
    <w:uiPriority w:val="9"/>
    <w:qFormat/>
    <w:rPr>
      <w:rFonts w:ascii="Arial" w:hAnsi="Arial" w:eastAsia="Arial" w:cs="Arial"/>
      <w:b/>
      <w:bCs/>
      <w:sz w:val="22"/>
      <w:szCs w:val="22"/>
    </w:rPr>
  </w:style>
  <w:style w:type="character" w:styleId="747" w:customStyle="1">
    <w:name w:val="Heading 7 Char"/>
    <w:link w:val="705"/>
    <w:uiPriority w:val="9"/>
    <w:qFormat/>
    <w:rPr>
      <w:rFonts w:ascii="Arial" w:hAnsi="Arial" w:eastAsia="Arial" w:cs="Arial"/>
      <w:b/>
      <w:bCs/>
      <w:i/>
      <w:iCs/>
      <w:sz w:val="22"/>
      <w:szCs w:val="22"/>
    </w:rPr>
  </w:style>
  <w:style w:type="character" w:styleId="748" w:customStyle="1">
    <w:name w:val="Heading 8 Char"/>
    <w:link w:val="706"/>
    <w:uiPriority w:val="9"/>
    <w:qFormat/>
    <w:rPr>
      <w:rFonts w:ascii="Arial" w:hAnsi="Arial" w:eastAsia="Arial" w:cs="Arial"/>
      <w:i/>
      <w:iCs/>
      <w:sz w:val="22"/>
      <w:szCs w:val="22"/>
    </w:rPr>
  </w:style>
  <w:style w:type="character" w:styleId="749" w:customStyle="1">
    <w:name w:val="Heading 9 Char"/>
    <w:link w:val="707"/>
    <w:uiPriority w:val="9"/>
    <w:qFormat/>
    <w:rPr>
      <w:rFonts w:ascii="Arial" w:hAnsi="Arial" w:eastAsia="Arial" w:cs="Arial"/>
      <w:i/>
      <w:iCs/>
      <w:sz w:val="21"/>
      <w:szCs w:val="21"/>
    </w:rPr>
  </w:style>
  <w:style w:type="paragraph" w:styleId="750">
    <w:name w:val="List Paragraph"/>
    <w:basedOn w:val="698"/>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4"/>
    <w:uiPriority w:val="10"/>
    <w:qFormat/>
    <w:rPr>
      <w:sz w:val="48"/>
      <w:szCs w:val="48"/>
    </w:rPr>
  </w:style>
  <w:style w:type="character" w:styleId="753" w:customStyle="1">
    <w:name w:val="Subtitle Char"/>
    <w:link w:val="727"/>
    <w:uiPriority w:val="11"/>
    <w:qFormat/>
    <w:rPr>
      <w:sz w:val="24"/>
      <w:szCs w:val="24"/>
    </w:rPr>
  </w:style>
  <w:style w:type="paragraph" w:styleId="754">
    <w:name w:val="Quote"/>
    <w:basedOn w:val="698"/>
    <w:next w:val="698"/>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8"/>
    <w:next w:val="69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4"/>
    <w:uiPriority w:val="99"/>
    <w:qFormat/>
  </w:style>
  <w:style w:type="character" w:styleId="759" w:customStyle="1">
    <w:name w:val="Footer Char"/>
    <w:link w:val="723"/>
    <w:uiPriority w:val="99"/>
    <w:qFormat/>
  </w:style>
  <w:style w:type="character" w:styleId="760" w:customStyle="1">
    <w:name w:val="Caption Char"/>
    <w:link w:val="723"/>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28"/>
    <w:uiPriority w:val="99"/>
    <w:qFormat/>
    <w:rPr>
      <w:sz w:val="18"/>
    </w:rPr>
  </w:style>
  <w:style w:type="character" w:styleId="887" w:customStyle="1">
    <w:name w:val="Endnote Text Char"/>
    <w:link w:val="722"/>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698"/>
    <w:next w:val="698"/>
    <w:uiPriority w:val="0"/>
    <w:qFormat/>
    <w:pPr>
      <w:keepNext/>
      <w:outlineLvl w:val="0"/>
    </w:pPr>
    <w:rPr>
      <w:rFonts w:ascii="楷体_GB2312" w:eastAsia="楷体_GB2312"/>
      <w:sz w:val="28"/>
      <w:szCs w:val="20"/>
    </w:rPr>
  </w:style>
  <w:style w:type="paragraph" w:styleId="890" w:customStyle="1">
    <w:name w:val="标题 21"/>
    <w:basedOn w:val="698"/>
    <w:next w:val="891"/>
    <w:uiPriority w:val="0"/>
    <w:qFormat/>
    <w:pPr>
      <w:jc w:val="center"/>
      <w:keepLines/>
      <w:keepNext/>
      <w:spacing w:before="260" w:after="260" w:line="416" w:lineRule="auto"/>
      <w:outlineLvl w:val="1"/>
    </w:pPr>
    <w:rPr>
      <w:rFonts w:ascii="Arial" w:hAnsi="Arial" w:eastAsia="幼圆"/>
      <w:b/>
      <w:sz w:val="44"/>
      <w:szCs w:val="20"/>
    </w:rPr>
  </w:style>
  <w:style w:type="paragraph" w:styleId="891" w:customStyle="1">
    <w:name w:val="正文缩进1"/>
    <w:basedOn w:val="698"/>
    <w:next w:val="698"/>
    <w:uiPriority w:val="0"/>
    <w:qFormat/>
    <w:pPr>
      <w:ind w:firstLine="420"/>
    </w:pPr>
    <w:rPr>
      <w:szCs w:val="21"/>
    </w:rPr>
  </w:style>
  <w:style w:type="paragraph" w:styleId="892" w:customStyle="1">
    <w:name w:val="标题 41"/>
    <w:basedOn w:val="698"/>
    <w:next w:val="698"/>
    <w:uiPriority w:val="0"/>
    <w:qFormat/>
    <w:pPr>
      <w:keepLines/>
      <w:keepNext/>
      <w:spacing w:before="120" w:after="120"/>
      <w:outlineLvl w:val="3"/>
    </w:pPr>
    <w:rPr>
      <w:rFonts w:ascii="Arial" w:hAnsi="Arial" w:eastAsia="黑体"/>
      <w:b/>
      <w:sz w:val="28"/>
    </w:rPr>
  </w:style>
  <w:style w:type="character" w:styleId="893" w:customStyle="1">
    <w:name w:val="默认段落字体1"/>
    <w:link w:val="698"/>
    <w:uiPriority w:val="0"/>
    <w:semiHidden/>
    <w:qFormat/>
  </w:style>
  <w:style w:type="table" w:styleId="894" w:customStyle="1">
    <w:name w:val="普通表格1"/>
    <w:uiPriority w:val="0"/>
    <w:semiHidden/>
    <w:qFormat/>
    <w:tblPr/>
  </w:style>
  <w:style w:type="paragraph" w:styleId="895" w:customStyle="1">
    <w:name w:val="批注文字1"/>
    <w:basedOn w:val="698"/>
    <w:uiPriority w:val="0"/>
    <w:qFormat/>
    <w:pPr>
      <w:jc w:val="left"/>
    </w:pPr>
  </w:style>
  <w:style w:type="paragraph" w:styleId="896" w:customStyle="1">
    <w:name w:val="正文文本1"/>
    <w:basedOn w:val="698"/>
    <w:uiPriority w:val="0"/>
    <w:qFormat/>
    <w:rPr>
      <w:rFonts w:ascii="楷体_GB2312" w:hAnsi="Arial" w:eastAsia="楷体_GB2312"/>
      <w:sz w:val="28"/>
      <w:szCs w:val="20"/>
    </w:rPr>
  </w:style>
  <w:style w:type="paragraph" w:styleId="897" w:customStyle="1">
    <w:name w:val="正文文本缩进1"/>
    <w:basedOn w:val="698"/>
    <w:uiPriority w:val="0"/>
    <w:qFormat/>
    <w:pPr>
      <w:ind w:firstLine="645"/>
    </w:pPr>
    <w:rPr>
      <w:rFonts w:ascii="楷体_GB2312" w:eastAsia="楷体_GB2312"/>
      <w:sz w:val="32"/>
      <w:szCs w:val="20"/>
    </w:rPr>
  </w:style>
  <w:style w:type="paragraph" w:styleId="898" w:customStyle="1">
    <w:name w:val="纯文本11"/>
    <w:basedOn w:val="698"/>
    <w:uiPriority w:val="0"/>
    <w:qFormat/>
    <w:rPr>
      <w:rFonts w:ascii="宋体" w:hAnsi="Courier New"/>
      <w:szCs w:val="21"/>
      <w:lang w:val="zh-CN"/>
    </w:rPr>
  </w:style>
  <w:style w:type="paragraph" w:styleId="899" w:customStyle="1">
    <w:name w:val="批注框文本1"/>
    <w:basedOn w:val="698"/>
    <w:link w:val="900"/>
    <w:uiPriority w:val="0"/>
    <w:qFormat/>
    <w:pPr>
      <w:spacing w:line="240" w:lineRule="auto"/>
    </w:pPr>
    <w:rPr>
      <w:sz w:val="18"/>
      <w:szCs w:val="18"/>
    </w:rPr>
  </w:style>
  <w:style w:type="character" w:styleId="900" w:customStyle="1">
    <w:name w:val="批注框文本 Char"/>
    <w:link w:val="899"/>
    <w:uiPriority w:val="0"/>
    <w:qFormat/>
    <w:rPr>
      <w:sz w:val="18"/>
      <w:szCs w:val="18"/>
    </w:rPr>
  </w:style>
  <w:style w:type="paragraph" w:styleId="901" w:customStyle="1">
    <w:name w:val="页脚1"/>
    <w:basedOn w:val="698"/>
    <w:uiPriority w:val="0"/>
    <w:qFormat/>
    <w:pPr>
      <w:jc w:val="left"/>
      <w:tabs>
        <w:tab w:val="center" w:pos="4153" w:leader="none"/>
        <w:tab w:val="right" w:pos="8306" w:leader="none"/>
      </w:tabs>
    </w:pPr>
    <w:rPr>
      <w:sz w:val="18"/>
      <w:szCs w:val="20"/>
    </w:rPr>
  </w:style>
  <w:style w:type="paragraph" w:styleId="902" w:customStyle="1">
    <w:name w:val="页眉1"/>
    <w:basedOn w:val="698"/>
    <w:uiPriority w:val="0"/>
    <w:qFormat/>
    <w:pPr>
      <w:jc w:val="center"/>
      <w:tabs>
        <w:tab w:val="center" w:pos="4153" w:leader="none"/>
        <w:tab w:val="right" w:pos="8306" w:leader="none"/>
      </w:tabs>
      <w:pBdr>
        <w:bottom w:val="single" w:color="000000" w:sz="6" w:space="1"/>
      </w:pBdr>
    </w:pPr>
    <w:rPr>
      <w:sz w:val="18"/>
      <w:szCs w:val="18"/>
    </w:rPr>
  </w:style>
  <w:style w:type="paragraph" w:styleId="903" w:customStyle="1">
    <w:name w:val="副标题1"/>
    <w:basedOn w:val="698"/>
    <w:next w:val="698"/>
    <w:uiPriority w:val="0"/>
    <w:qFormat/>
    <w:pPr>
      <w:jc w:val="center"/>
      <w:spacing w:before="240" w:after="60" w:line="312" w:lineRule="auto"/>
      <w:outlineLvl w:val="1"/>
    </w:pPr>
    <w:rPr>
      <w:rFonts w:ascii="Cambria" w:hAnsi="Cambria"/>
      <w:b/>
      <w:sz w:val="32"/>
    </w:rPr>
  </w:style>
  <w:style w:type="paragraph" w:styleId="904" w:customStyle="1">
    <w:name w:val="普通(网站)1"/>
    <w:basedOn w:val="698"/>
    <w:uiPriority w:val="0"/>
    <w:qFormat/>
    <w:pPr>
      <w:jc w:val="left"/>
      <w:spacing w:before="100" w:beforeAutospacing="1" w:after="100" w:afterAutospacing="1"/>
      <w:widowControl/>
    </w:pPr>
    <w:rPr>
      <w:rFonts w:ascii="宋体" w:hAnsi="宋体" w:cs="宋体"/>
      <w:sz w:val="24"/>
    </w:rPr>
  </w:style>
  <w:style w:type="paragraph" w:styleId="905" w:customStyle="1">
    <w:name w:val="正文首行缩进1"/>
    <w:basedOn w:val="896"/>
    <w:uiPriority w:val="0"/>
    <w:qFormat/>
    <w:pPr>
      <w:ind w:firstLine="420"/>
      <w:spacing w:after="120"/>
    </w:pPr>
    <w:rPr>
      <w:szCs w:val="24"/>
    </w:rPr>
  </w:style>
  <w:style w:type="paragraph" w:styleId="906" w:customStyle="1">
    <w:name w:val="正文首行缩进 21"/>
    <w:basedOn w:val="897"/>
    <w:uiPriority w:val="0"/>
    <w:semiHidden/>
    <w:qFormat/>
    <w:pPr>
      <w:ind w:firstLine="420"/>
    </w:pPr>
  </w:style>
  <w:style w:type="table" w:styleId="907" w:customStyle="1">
    <w:name w:val="网格型1"/>
    <w:basedOn w:val="894"/>
    <w:uiPriority w:val="0"/>
    <w:qFormat/>
    <w:pPr>
      <w:jc w:val="both"/>
      <w:widowControl w:val="off"/>
    </w:pPr>
    <w:rPr>
      <w:lang w:val="en-US" w:eastAsia="zh-CN" w:bidi="ar-SA"/>
    </w:rPr>
    <w:tblPr/>
  </w:style>
  <w:style w:type="character" w:styleId="908" w:customStyle="1">
    <w:name w:val="页码1"/>
    <w:link w:val="698"/>
    <w:uiPriority w:val="0"/>
    <w:qFormat/>
    <w:rPr>
      <w:rFonts w:ascii="Times New Roman" w:hAnsi="Times New Roman" w:eastAsia="宋体"/>
    </w:rPr>
  </w:style>
  <w:style w:type="paragraph" w:styleId="909" w:customStyle="1">
    <w:name w:val="段"/>
    <w:next w:val="910"/>
    <w:uiPriority w:val="0"/>
    <w:qFormat/>
    <w:pPr>
      <w:ind w:firstLine="200"/>
      <w:jc w:val="both"/>
    </w:pPr>
    <w:rPr>
      <w:rFonts w:hint="default" w:ascii="宋体" w:hAnsi="Times New Roman" w:eastAsia="宋体" w:cs="Times New Roman"/>
      <w:sz w:val="21"/>
      <w:lang w:val="en-US" w:eastAsia="zh-CN" w:bidi="ar-SA"/>
    </w:rPr>
  </w:style>
  <w:style w:type="paragraph" w:styleId="910" w:customStyle="1">
    <w:name w:val="正文11"/>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Default"/>
    <w:basedOn w:val="698"/>
    <w:next w:val="912"/>
    <w:uiPriority w:val="0"/>
    <w:qFormat/>
    <w:pPr>
      <w:jc w:val="left"/>
    </w:pPr>
    <w:rPr>
      <w:rFonts w:ascii="仿宋" w:hAnsi="仿宋" w:eastAsia="仿宋" w:cs="宋体"/>
      <w:color w:val="000000"/>
      <w:sz w:val="24"/>
    </w:rPr>
  </w:style>
  <w:style w:type="paragraph" w:styleId="912" w:customStyle="1">
    <w:name w:val="TOC 71"/>
    <w:basedOn w:val="698"/>
    <w:next w:val="698"/>
    <w:uiPriority w:val="0"/>
    <w:qFormat/>
    <w:pPr>
      <w:ind w:left="2550"/>
      <w:spacing w:before="100" w:beforeAutospacing="1" w:after="100" w:afterAutospacing="1"/>
      <w:widowControl/>
    </w:pPr>
    <w:rPr>
      <w:szCs w:val="21"/>
    </w:rPr>
  </w:style>
  <w:style w:type="paragraph" w:styleId="913" w:customStyle="1">
    <w:name w:val="普通正文"/>
    <w:basedOn w:val="698"/>
    <w:uiPriority w:val="0"/>
    <w:qFormat/>
    <w:pPr>
      <w:ind w:firstLine="480"/>
      <w:jc w:val="left"/>
      <w:spacing w:before="120" w:after="120" w:line="360" w:lineRule="auto"/>
    </w:pPr>
    <w:rPr>
      <w:rFonts w:ascii="Arial" w:hAnsi="Arial"/>
      <w:sz w:val="24"/>
    </w:rPr>
  </w:style>
  <w:style w:type="paragraph" w:styleId="914" w:customStyle="1">
    <w:name w:val="WPSOffice手动目录 1"/>
    <w:uiPriority w:val="0"/>
    <w:qFormat/>
    <w:rPr>
      <w:rFonts w:hint="default" w:ascii="Times New Roman" w:hAnsi="Times New Roman" w:eastAsia="宋体" w:cs="Times New Roman"/>
      <w:lang w:val="en-US" w:eastAsia="zh-CN" w:bidi="ar-SA"/>
    </w:rPr>
  </w:style>
  <w:style w:type="paragraph" w:styleId="915" w:customStyle="1">
    <w:name w:val="List Paragraph1"/>
    <w:basedOn w:val="698"/>
    <w:uiPriority w:val="0"/>
    <w:qFormat/>
    <w:pPr>
      <w:ind w:firstLine="420"/>
    </w:pPr>
    <w:rPr>
      <w:szCs w:val="22"/>
    </w:rPr>
  </w:style>
  <w:style w:type="paragraph" w:styleId="916" w:customStyle="1">
    <w:name w:val="_Style 21"/>
    <w:basedOn w:val="698"/>
    <w:next w:val="915"/>
    <w:uiPriority w:val="0"/>
    <w:qFormat/>
    <w:pPr>
      <w:ind w:left="890" w:firstLine="420"/>
      <w:jc w:val="left"/>
    </w:pPr>
    <w:rPr>
      <w:rFonts w:ascii="Calibri" w:hAnsi="Calibri"/>
      <w:szCs w:val="22"/>
    </w:rPr>
  </w:style>
  <w:style w:type="paragraph" w:styleId="917" w:customStyle="1">
    <w:name w:val="列出段落1"/>
    <w:basedOn w:val="698"/>
    <w:uiPriority w:val="0"/>
    <w:qFormat/>
    <w:pPr>
      <w:ind w:firstLine="420"/>
    </w:pPr>
    <w:rPr>
      <w:rFonts w:ascii="Calibri" w:hAnsi="Calibri"/>
      <w:szCs w:val="22"/>
    </w:rPr>
  </w:style>
  <w:style w:type="paragraph" w:styleId="918" w:customStyle="1">
    <w:name w:val="正文空2格  1."/>
    <w:basedOn w:val="698"/>
    <w:uiPriority w:val="0"/>
    <w:qFormat/>
    <w:pPr>
      <w:ind w:firstLine="480"/>
    </w:pPr>
    <w:rPr>
      <w:rFonts w:cs="宋体"/>
      <w:sz w:val="28"/>
      <w:szCs w:val="20"/>
    </w:rPr>
  </w:style>
  <w:style w:type="paragraph" w:styleId="919" w:customStyle="1">
    <w:name w:val="_Style 1"/>
    <w:uiPriority w:val="0"/>
    <w:qFormat/>
    <w:rPr>
      <w:rFonts w:hint="default" w:ascii="Tahoma" w:hAnsi="Tahoma" w:eastAsia="宋体" w:cs="Times New Roman"/>
      <w:sz w:val="22"/>
      <w:szCs w:val="22"/>
      <w:lang w:val="en-US" w:eastAsia="zh-CN" w:bidi="ar-SA"/>
    </w:rPr>
  </w:style>
  <w:style w:type="paragraph" w:styleId="920" w:customStyle="1">
    <w:name w:val="注释标题1"/>
    <w:basedOn w:val="698"/>
    <w:next w:val="698"/>
    <w:uiPriority w:val="0"/>
    <w:qFormat/>
    <w:rPr>
      <w:rFonts w:ascii="Verdana" w:hAnsi="Verdana"/>
      <w:szCs w:val="20"/>
    </w:rPr>
  </w:style>
  <w:style w:type="paragraph" w:styleId="921" w:customStyle="1">
    <w:name w:val="纯文本1"/>
    <w:basedOn w:val="698"/>
    <w:uiPriority w:val="0"/>
    <w:qFormat/>
    <w:rPr>
      <w:rFonts w:ascii="宋体" w:hAnsi="Courier New" w:eastAsia="楷体_GB2312" w:cs="宋体"/>
      <w:sz w:val="28"/>
      <w:szCs w:val="21"/>
    </w:rPr>
  </w:style>
  <w:style w:type="paragraph" w:styleId="922"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23" w:customStyle="1">
    <w:name w:val="目录 11"/>
    <w:basedOn w:val="910"/>
    <w:next w:val="910"/>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24" w:customStyle="1">
    <w:name w:val="Char"/>
    <w:basedOn w:val="698"/>
    <w:uiPriority w:val="0"/>
    <w:qFormat/>
    <w:pPr>
      <w:tabs>
        <w:tab w:val="left" w:pos="360" w:leader="none"/>
      </w:tabs>
    </w:pPr>
    <w:rPr>
      <w:sz w:val="24"/>
    </w:rPr>
  </w:style>
  <w:style w:type="character" w:styleId="925" w:customStyle="1">
    <w:name w:val="font21"/>
    <w:link w:val="698"/>
    <w:uiPriority w:val="0"/>
    <w:qFormat/>
    <w:rPr>
      <w:rFonts w:hint="eastAsia" w:ascii="宋体" w:hAnsi="宋体" w:eastAsia="宋体" w:cs="宋体"/>
      <w:color w:val="ff0000"/>
      <w:sz w:val="22"/>
      <w:szCs w:val="22"/>
      <w:u w:val="none"/>
    </w:rPr>
  </w:style>
  <w:style w:type="paragraph" w:styleId="926" w:customStyle="1">
    <w:name w:val="列出段落"/>
    <w:basedOn w:val="698"/>
    <w:uiPriority w:val="34"/>
    <w:qFormat/>
    <w:pPr>
      <w:ind w:firstLine="420"/>
    </w:pPr>
    <w:rPr>
      <w:szCs w:val="24"/>
    </w:rPr>
  </w:style>
  <w:style w:type="table" w:styleId="927" w:customStyle="1">
    <w:name w:val="Table Normal"/>
    <w:uiPriority w:val="0"/>
    <w:unhideWhenUsed/>
    <w:qFormat/>
    <w:rPr>
      <w:lang w:val="en-US" w:eastAsia="zh-CN" w:bidi="ar-SA"/>
    </w:rPr>
    <w:tblPr/>
  </w:style>
  <w:style w:type="paragraph" w:styleId="928" w:customStyle="1">
    <w:name w:val="Table Text"/>
    <w:basedOn w:val="698"/>
    <w:uiPriority w:val="0"/>
    <w:semiHidden/>
    <w:qFormat/>
    <w:rPr>
      <w:rFonts w:ascii="Arial" w:hAnsi="Arial" w:eastAsia="Arial" w:cs="Arial"/>
      <w:sz w:val="21"/>
      <w:szCs w:val="21"/>
      <w:lang w:val="en-US" w:eastAsia="en-US" w:bidi="ar-SA"/>
    </w:rPr>
  </w:style>
  <w:style w:type="character" w:styleId="929" w:customStyle="1">
    <w:name w:val="Body Text Char"/>
    <w:uiPriority w:val="0"/>
    <w:qFormat/>
    <w:rPr>
      <w:rFonts w:ascii="Gill Sans" w:hAnsi="Gill Sans" w:eastAsia="宋体" w:cs="Times New Roman"/>
      <w:lang w:val="en-US" w:eastAsia="en-US" w:bidi="ar-SA"/>
    </w:rPr>
  </w:style>
  <w:style w:type="character" w:styleId="930" w:customStyle="1">
    <w:name w:val="font01"/>
    <w:basedOn w:val="708"/>
    <w:uiPriority w:val="0"/>
    <w:qFormat/>
    <w:rPr>
      <w:rFonts w:hint="eastAsia" w:ascii="宋体" w:hAnsi="宋体" w:eastAsia="宋体" w:cs="宋体"/>
      <w:color w:val="000000"/>
      <w:sz w:val="24"/>
      <w:szCs w:val="24"/>
      <w:u w:val="none"/>
    </w:rPr>
  </w:style>
  <w:style w:type="character" w:styleId="931" w:customStyle="1">
    <w:name w:val="font11"/>
    <w:basedOn w:val="708"/>
    <w:uiPriority w:val="0"/>
    <w:qFormat/>
    <w:rPr>
      <w:rFonts w:hint="eastAsia" w:ascii="宋体" w:hAnsi="宋体" w:eastAsia="宋体" w:cs="宋体"/>
      <w:b/>
      <w:bCs/>
      <w:color w:val="000000"/>
      <w:sz w:val="24"/>
      <w:szCs w:val="24"/>
      <w:u w:val="none"/>
    </w:rPr>
  </w:style>
  <w:style w:type="paragraph" w:styleId="932" w:customStyle="1">
    <w:name w:val="Table Paragraph"/>
    <w:basedOn w:val="698"/>
    <w:uiPriority w:val="1"/>
    <w:qFormat/>
    <w:pPr>
      <w:ind w:firstLine="0"/>
      <w:jc w:val="left"/>
      <w:spacing w:line="240" w:lineRule="auto"/>
    </w:pPr>
    <w:rPr>
      <w:sz w:val="22"/>
      <w:szCs w:val="22"/>
      <w:lang w:val="zh-CN" w:bidi="zh-CN"/>
      <w14:ligatures w14:val="none"/>
    </w:rPr>
  </w:style>
  <w:style w:type="numbering" w:styleId="14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a20098f3-df9d-4bcd-9b38-8a6891896c8e</errorID>
      <errorWord>内天</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10F84C26</paraID>
      <start>55</start>
      <end>57</end>
      <status>unmodified</status>
      <modifiedWord/>
      <trackRevisions>false</trackRevisions>
    </reviewItem>
    <reviewItem>
      <errorID>4cd7819a-068b-4faf-96e1-c438c917cd71</errorID>
      <errorWord>（</errorWord>
      <group>L1_Punc</group>
      <groupName>标点问题</groupName>
      <ability>L2_Punc</ability>
      <abilityName>标点符号检查</abilityName>
      <candidateList/>
      <explain>同一形式括号套用。</explain>
      <paraID>70275242</paraID>
      <start>128</start>
      <end>129</end>
      <status>unmodified</status>
      <modifiedWord/>
      <trackRevisions>false</trackRevisions>
    </reviewItem>
    <reviewItem>
      <errorID>69a6f8a8-78b9-4d5e-ae6c-937fb39f40f4</errorID>
      <errorWord>）</errorWord>
      <group>L1_Punc</group>
      <groupName>标点问题</groupName>
      <ability>L2_Punc</ability>
      <abilityName>标点符号检查</abilityName>
      <candidateList/>
      <explain>同一形式括号套用。</explain>
      <paraID>70275242</paraID>
      <start>147</start>
      <end>148</end>
      <status>unmodified</status>
      <modifiedWord/>
      <trackRevisions>false</trackRevisions>
    </reviewItem>
    <reviewItem>
      <errorID>be09bda5-a2c0-4ac3-974d-091d2da9e7d1</errorID>
      <errorWord>（</errorWord>
      <group>L1_Punc</group>
      <groupName>标点问题</groupName>
      <ability>L2_Punc</ability>
      <abilityName>标点符号检查</abilityName>
      <candidateList/>
      <explain>同一形式括号套用。</explain>
      <paraID>70275242</paraID>
      <start>188</start>
      <end>189</end>
      <status>unmodified</status>
      <modifiedWord/>
      <trackRevisions>false</trackRevisions>
    </reviewItem>
    <reviewItem>
      <errorID>45f81c6b-bb10-45d8-9894-2dc816028ba6</errorID>
      <errorWord>）</errorWord>
      <group>L1_Punc</group>
      <groupName>标点问题</groupName>
      <ability>L2_Punc</ability>
      <abilityName>标点符号检查</abilityName>
      <candidateList/>
      <explain>同一形式括号套用。</explain>
      <paraID>70275242</paraID>
      <start>199</start>
      <end>200</end>
      <status>unmodified</status>
      <modifiedWord/>
      <trackRevisions>false</trackRevisions>
    </reviewItem>
    <reviewItem>
      <errorID>8aedda17-6432-4f68-91d8-5a8ca8834b1a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71E65758</paraID>
      <start>0</start>
      <end>2</end>
      <status>unmodified</status>
      <modifiedWord/>
      <trackRevisions>false</trackRevisions>
    </reviewItem>
    <reviewItem>
      <errorID>df3f3fa4-71e4-447c-b304-aa99bee28fb2</errorID>
      <errorWord>作</errorWord>
      <group>L1_Word</group>
      <groupName>字词问题</groupName>
      <ability>L2_Typo</ability>
      <abilityName>字词错误</abilityName>
      <candidateList>
        <item>做</item>
      </candidateList>
      <explain>存在发音相同字词的误用。</explain>
      <paraID>56E91066</paraID>
      <start>67</start>
      <end>68</end>
      <status>unmodified</status>
      <modifiedWord/>
      <trackRevisions>false</trackRevisions>
    </reviewItem>
    <reviewItem>
      <errorID>564abfd4-357b-4609-a90c-b1efc200978a</errorID>
      <errorWord>保持通讯畅通</errorWord>
      <group>L1_Word</group>
      <groupName>字词问题</groupName>
      <ability>L2_Typo</ability>
      <abilityName>字词错误</abilityName>
      <candidateList>
        <item>保持通信畅通</item>
      </candidateList>
      <explain/>
      <paraID>43B0D067</paraID>
      <start>16</start>
      <end>22</end>
      <status>unmodified</status>
      <modifiedWord/>
      <trackRevisions>false</trackRevisions>
    </reviewItem>
    <reviewItem>
      <errorID>4693e269-b786-4466-a435-451ea070fad7</errorID>
      <errorWord>-</errorWord>
      <group>L1_Format</group>
      <groupName>格式问题</groupName>
      <ability>L2_HalfPunc</ability>
      <abilityName>全半角检查</abilityName>
      <candidateList>
        <item>－</item>
      </candidateList>
      <explain>文本全半角错误。</explain>
      <paraID>27EEDF0A</paraID>
      <start>29</start>
      <end>30</end>
      <status>unmodified</status>
      <modifiedWord/>
      <trackRevisions>false</trackRevisions>
    </reviewItem>
    <reviewItem>
      <errorID>80c1bc67-f8df-4cfd-8d27-793333b43621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B694B42</paraID>
      <start>77</start>
      <end>78</end>
      <status>unmodified</status>
      <modifiedWord/>
      <trackRevisions>false</trackRevisions>
    </reviewItem>
    <reviewItem>
      <errorID>473e7736-888b-4561-88df-e603860d6836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28146045</paraID>
      <start>0</start>
      <end>2</end>
      <status>unmodified</status>
      <modifiedWord/>
      <trackRevisions>false</trackRevisions>
    </reviewItem>
    <reviewItem>
      <errorID>df697fa6-7f8f-4052-a25e-5df9ae966695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5203486</paraID>
      <start>0</start>
      <end>2</end>
      <status>unmodified</status>
      <modifiedWord/>
      <trackRevisions>false</trackRevisions>
    </reviewItem>
    <reviewItem>
      <errorID>e1d9a2e2-1392-4f8d-8c04-e912308cbb42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482124E7</paraID>
      <start>0</start>
      <end>2</end>
      <status>unmodified</status>
      <modifiedWord/>
      <trackRevisions>false</trackRevisions>
    </reviewItem>
    <reviewItem>
      <errorID>03f0c7c0-5b07-494b-899e-594db36025d2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44DB5CA2</paraID>
      <start>0</start>
      <end>2</end>
      <status>unmodified</status>
      <modifiedWord/>
      <trackRevisions>false</trackRevisions>
    </reviewItem>
    <reviewItem>
      <errorID>7ae2d649-a762-48e8-9ab1-7af1f7ae8463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ED5125B</paraID>
      <start>0</start>
      <end>2</end>
      <status>unmodified</status>
      <modifiedWord/>
      <trackRevisions>false</trackRevisions>
    </reviewItem>
    <reviewItem>
      <errorID>85304060-9c86-4e6b-a8c5-70142fc69abc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5B728A31</paraID>
      <start>0</start>
      <end>2</end>
      <status>unmodified</status>
      <modifiedWord/>
      <trackRevisions>false</trackRevisions>
    </reviewItem>
    <reviewItem>
      <errorID>dd27caf4-f1c5-493a-8b52-c5c33606ebd8</errorID>
      <errorWord>》</errorWord>
      <group>L1_Word</group>
      <groupName>字词问题</groupName>
      <ability>L2_Typo</ability>
      <abilityName>字词错误</abilityName>
      <candidateList>
        <item>》和</item>
      </candidateList>
      <explain/>
      <paraID>6A2D3F7F</paraID>
      <start>15</start>
      <end>16</end>
      <status>unmodified</status>
      <modifiedWord/>
      <trackRevisions>false</trackRevisions>
    </reviewItem>
    <reviewItem>
      <errorID>78103188-86e1-4867-9fb0-870c82922396</errorID>
      <errorWord>电话中</errorWord>
      <group>L1_Word</group>
      <groupName>字词问题</groupName>
      <ability>L2_Typo</ability>
      <abilityName>字词错误</abilityName>
      <candidateList>
        <item>电话</item>
      </candidateList>
      <explain/>
      <paraID>287B2E4E</paraID>
      <start>91</start>
      <end>94</end>
      <status>unmodified</status>
      <modifiedWord/>
      <trackRevisions>false</trackRevisions>
    </reviewItem>
    <reviewItem>
      <errorID>c4e8fea0-7045-4dce-9421-f0127bfb3bc2</errorID>
      <errorWord>电话中</errorWord>
      <group>L1_Word</group>
      <groupName>字词问题</groupName>
      <ability>L2_Typo</ability>
      <abilityName>字词错误</abilityName>
      <candidateList>
        <item>电话</item>
      </candidateList>
      <explain/>
      <paraID>6F9B4835</paraID>
      <start>91</start>
      <end>94</end>
      <status>unmodified</status>
      <modifiedWord/>
      <trackRevisions>false</trackRevisions>
    </reviewItem>
    <reviewItem>
      <errorID>ab43db56-ba65-46ec-9e00-f1c547c76a54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2FC79704</paraID>
      <start>0</start>
      <end>2</end>
      <status>unmodified</status>
      <modifiedWord/>
      <trackRevisions>false</trackRevisions>
    </reviewItem>
    <reviewItem>
      <errorID>687d5353-7743-49e6-a85a-a4fb1df38885</errorID>
      <errorWord>项目的</errorWord>
      <group>L1_Word</group>
      <groupName>字词问题</groupName>
      <ability>L2_Typo</ability>
      <abilityName>字词错误</abilityName>
      <candidateList>
        <item>项目</item>
      </candidateList>
      <explain>〈名〉事物分成的门类：服务～｜体育～｜建设～。</explain>
      <paraID> 637EF10</paraID>
      <start>24</start>
      <end>27</end>
      <status>unmodified</status>
      <modifiedWord/>
      <trackRevisions>false</trackRevisions>
    </reviewItem>
    <reviewItem>
      <errorID>e945e879-06a0-4f38-a21c-589d7b54c0e7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5B1FE099</paraID>
      <start>0</start>
      <end>2</end>
      <status>unmodified</status>
      <modifiedWord/>
      <trackRevisions>false</trackRevisions>
    </reviewItem>
    <reviewItem>
      <errorID>0edf29a8-2753-41c2-981a-25aef254c321</errorID>
      <errorWord>法律、法规</errorWord>
      <group>L1_Word</group>
      <groupName>字词问题</groupName>
      <ability>L2_Typo</ability>
      <abilityName>字词错误</abilityName>
      <candidateList>
        <item>法律法规</item>
      </candidateList>
      <explain/>
      <paraID>1DF1F404</paraID>
      <start>28</start>
      <end>33</end>
      <status>unmodified</status>
      <modifiedWord/>
      <trackRevisions>false</trackRevisions>
    </reviewItem>
    <reviewItem>
      <errorID>18eb6429-ed40-4f49-bda9-9aa0649968f0</errorID>
      <errorWord>方</errorWord>
      <group>L1_Word</group>
      <groupName>字词问题</groupName>
      <ability>L2_Typo</ability>
      <abilityName>字词错误</abilityName>
      <candidateList>
        <item>方进</item>
      </candidateList>
      <explain/>
      <paraID>21415A0A</paraID>
      <start>5</start>
      <end>6</end>
      <status>unmodified</status>
      <modifiedWord/>
      <trackRevisions>false</trackRevisions>
    </reviewItem>
    <reviewItem>
      <errorID>303d5b83-da34-41b0-9f56-879c82c23779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1B9FE039</paraID>
      <start>0</start>
      <end>2</end>
      <status>unmodified</status>
      <modifiedWord/>
      <trackRevisions>false</trackRevisions>
    </reviewItem>
    <reviewItem>
      <errorID>496d5abd-be1f-42d8-bd9c-f394a15f83a5</errorID>
      <errorWord>,</errorWord>
      <group>L1_Format</group>
      <groupName>格式问题</groupName>
      <ability>L2_HalfPunc</ability>
      <abilityName>全半角检查</abilityName>
      <candidateList>
        <item>，</item>
      </candidateList>
      <explain>文本全半角错误。</explain>
      <paraID>6D0C1219</paraID>
      <start>62</start>
      <end>63</end>
      <status>unmodified</status>
      <modifiedWord/>
      <trackRevisions>false</trackRevisions>
    </reviewItem>
    <reviewItem>
      <errorID>037fffe9-25fb-456e-b2b0-da4c87a0c94a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131DDD73</paraID>
      <start>0</start>
      <end>2</end>
      <status>unmodified</status>
      <modifiedWord/>
      <trackRevisions>false</trackRevisions>
    </reviewItem>
    <reviewItem>
      <errorID>dd473658-3420-4673-a0af-7475a14a1a53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253E0D4</paraID>
      <start>0</start>
      <end>2</end>
      <status>unmodified</status>
      <modifiedWord/>
      <trackRevisions>false</trackRevisions>
    </reviewItem>
    <reviewItem>
      <errorID>0ab1fb87-2248-4758-89d7-cd141f56955b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7E8E8FE5</paraID>
      <start>0</start>
      <end>2</end>
      <status>unmodified</status>
      <modifiedWord/>
      <trackRevisions>false</trackRevisions>
    </reviewItem>
    <reviewItem>
      <errorID>f95b44b0-8f20-4fae-91cc-224d3cbd3c9e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240CE261</paraID>
      <start>0</start>
      <end>2</end>
      <status>unmodified</status>
      <modifiedWord/>
      <trackRevisions>false</trackRevisions>
    </reviewItem>
    <reviewItem>
      <errorID>83da01f6-23da-4122-9daf-48aa249138d9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1C8883</paraID>
      <start>0</start>
      <end>2</end>
      <status>unmodified</status>
      <modifiedWord/>
      <trackRevisions>false</trackRevisions>
    </reviewItem>
    <reviewItem>
      <errorID>b44eee92-dcc6-4ef1-9462-071c4701cd20</errorID>
      <errorWord>"</errorWord>
      <group>L1_Format</group>
      <groupName>格式问题</groupName>
      <ability>L2_HalfPunc</ability>
      <abilityName>全半角检查</abilityName>
      <candidateList>
        <item>“</item>
      </candidateList>
      <explain>文本全半角错误。</explain>
      <paraID>3E6EF0B2</paraID>
      <start>118</start>
      <end>119</end>
      <status>unmodified</status>
      <modifiedWord/>
      <trackRevisions>false</trackRevisions>
    </reviewItem>
    <reviewItem>
      <errorID>3a033a3c-c066-4dd9-883e-6161f825a81b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30D6503D</paraID>
      <start>128</start>
      <end>129</end>
      <status>unmodified</status>
      <modifiedWord/>
      <trackRevisions>false</trackRevisions>
    </reviewItem>
    <reviewItem>
      <errorID>6c6fd626-c6ee-4036-8fe1-b91304df7ad0</errorID>
      <errorWord>内天</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7CC817B4</paraID>
      <start>17</start>
      <end>19</end>
      <status>unmodified</status>
      <modifiedWord/>
      <trackRevisions>false</trackRevisions>
    </reviewItem>
    <reviewItem>
      <errorID>cd14938d-1b48-4cc7-9470-70e42d337760</errorID>
      <errorWord>电话中</errorWord>
      <group>L1_Word</group>
      <groupName>字词问题</groupName>
      <ability>L2_Typo</ability>
      <abilityName>字词错误</abilityName>
      <candidateList>
        <item>电话</item>
      </candidateList>
      <explain/>
      <paraID>39621DEF</paraID>
      <start>37</start>
      <end>40</end>
      <status>unmodified</status>
      <modifiedWord/>
      <trackRevisions>false</trackRevisions>
    </reviewItem>
    <reviewItem>
      <errorID>862679eb-813f-499c-8aaf-35bf5b725d7b</errorID>
      <errorWord>每年内</errorWord>
      <group>L1_Word</group>
      <groupName>字词问题</groupName>
      <ability>L2_Typo</ability>
      <abilityName>字词错误</abilityName>
      <candidateList>
        <item>每年</item>
      </candidateList>
      <explain/>
      <paraID>357B0506</paraID>
      <start>2</start>
      <end>5</end>
      <status>unmodified</status>
      <modifiedWord/>
      <trackRevisions>false</trackRevisions>
    </reviewItem>
    <reviewItem>
      <errorID>33c76251-87dc-4131-83f0-39d4e82621fb</errorID>
      <errorWord>到</errorWord>
      <group>L1_Word</group>
      <groupName>字词问题</groupName>
      <ability>L2_Typo</ability>
      <abilityName>字词错误</abilityName>
      <candidateList>
        <item>至</item>
      </candidateList>
      <explain>存在字形相近字词的误用。</explain>
      <paraID>43362D52</paraID>
      <start>42</start>
      <end>43</end>
      <status>unmodified</status>
      <modifiedWord/>
      <trackRevisions>false</trackRevisions>
    </reviewItem>
    <reviewItem>
      <errorID>840f19da-4653-45f2-9ddf-3f35ad090aae</errorID>
      <errorWord>WiFi</errorWord>
      <group>L1_Punc</group>
      <groupName>标点问题</groupName>
      <ability>L2_Punc</ability>
      <abilityName>标点符号检查</abilityName>
      <candidateList>
        <item>Wi-Fi</item>
      </candidateList>
      <explain/>
      <paraID>2862BB23</paraID>
      <start>30</start>
      <end>34</end>
      <status>unmodified</status>
      <modifiedWord/>
      <trackRevisions>false</trackRevisions>
    </reviewItem>
    <reviewItem>
      <errorID>505eab57-85c4-41d4-ad79-0183fcf8518d</errorID>
      <errorWord>来做</errorWord>
      <group>L1_Word</group>
      <groupName>字词问题</groupName>
      <ability>L2_Typo</ability>
      <abilityName>字词错误</abilityName>
      <candidateList>
        <item>来自</item>
      </candidateList>
      <explain/>
      <paraID>49566DD2</paraID>
      <start>29</start>
      <end>31</end>
      <status>unmodified</status>
      <modifiedWord/>
      <trackRevisions>false</trackRevisions>
    </reviewItem>
    <reviewItem>
      <errorID>b8e44b77-e7da-4e0f-ab48-ee6dadcb73e7</errorID>
      <errorWord>子</errorWord>
      <group>L1_Word</group>
      <groupName>字词问题</groupName>
      <ability>L2_Typo</ability>
      <abilityName>字词错误</abilityName>
      <candidateList>
        <item>子印</item>
      </candidateList>
      <explain/>
      <paraID>4A73D505</paraID>
      <start>16</start>
      <end>17</end>
      <status>unmodified</status>
      <modifiedWord/>
      <trackRevisions>false</trackRevisions>
    </reviewItem>
    <reviewItem>
      <errorID>b4af1381-bba3-43b9-abd9-f54a1ff0484c</errorID>
      <errorWord>、；</errorWord>
      <group>L1_Punc</group>
      <groupName>标点问题</groupName>
      <ability>L2_Punc</ability>
      <abilityName>标点符号检查</abilityName>
      <candidateList>
        <item>、</item>
      </candidateList>
      <explain/>
      <paraID>1E395A05</paraID>
      <start>56</start>
      <end>58</end>
      <status>unmodified</status>
      <modifiedWord/>
      <trackRevisions>false</trackRevisions>
    </reviewItem>
    <reviewItem>
      <errorID>dc56d211-8b9e-4b87-aafb-894fdf153c5f</errorID>
      <errorWord>模版</errorWord>
      <group>L1_Word</group>
      <groupName>字词问题</groupName>
      <ability>L2_Typo</ability>
      <abilityName>字词错误</abilityName>
      <candidateList>
        <item>模板</item>
      </candidateList>
      <explain>存在发音相同字词的误用。</explain>
      <paraID>31B4658D</paraID>
      <start>2</start>
      <end>4</end>
      <status>unmodified</status>
      <modifiedWord/>
      <trackRevisions>false</trackRevisions>
    </reviewItem>
    <reviewItem>
      <errorID>4ebb76c9-6793-4d28-9b7a-8f7628d3c52d</errorID>
      <errorWord>模版</errorWord>
      <group>L1_Word</group>
      <groupName>字词问题</groupName>
      <ability>L2_Typo</ability>
      <abilityName>字词错误</abilityName>
      <candidateList>
        <item>模板</item>
      </candidateList>
      <explain>存在发音相同字词的误用。</explain>
      <paraID>37C1DF61</paraID>
      <start>13</start>
      <end>15</end>
      <status>unmodified</status>
      <modifiedWord/>
      <trackRevisions>false</trackRevisions>
    </reviewItem>
    <reviewItem>
      <errorID>33576bde-99d1-4d52-85f0-03c6ca00885f</errorID>
      <errorWord>模版</errorWord>
      <group>L1_Word</group>
      <groupName>字词问题</groupName>
      <ability>L2_Typo</ability>
      <abilityName>字词错误</abilityName>
      <candidateList>
        <item>模板</item>
      </candidateList>
      <explain>存在发音相同字词的误用。</explain>
      <paraID>37C1DF61</paraID>
      <start>41</start>
      <end>43</end>
      <status>unmodified</status>
      <modifiedWord/>
      <trackRevisions>false</trackRevisions>
    </reviewItem>
    <reviewItem>
      <errorID>60174645-99b5-4a4f-83ff-70e2b45c96c8</errorID>
      <errorWord>模版</errorWord>
      <group>L1_Word</group>
      <groupName>字词问题</groupName>
      <ability>L2_Typo</ability>
      <abilityName>字词错误</abilityName>
      <candidateList>
        <item>模板</item>
      </candidateList>
      <explain>存在发音相同字词的误用。</explain>
      <paraID>37C1DF61</paraID>
      <start>48</start>
      <end>50</end>
      <status>unmodified</status>
      <modifiedWord/>
      <trackRevisions>false</trackRevisions>
    </reviewItem>
    <reviewItem>
      <errorID>45cf60d3-f52c-4a13-8bce-c736e175af26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16CC99A2</paraID>
      <start>0</start>
      <end>2</end>
      <status>unmodified</status>
      <modifiedWord/>
      <trackRevisions>false</trackRevisions>
    </reviewItem>
    <reviewItem>
      <errorID>b7d4ea3a-b072-489a-b630-22a3d30bb14e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9075C79</paraID>
      <start>0</start>
      <end>2</end>
      <status>unmodified</status>
      <modifiedWord/>
      <trackRevisions>false</trackRevisions>
    </reviewItem>
    <reviewItem>
      <errorID>3a29a9fc-3fa8-46f2-a654-896f52828d5b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16C8B6ED</paraID>
      <start>0</start>
      <end>2</end>
      <status>unmodified</status>
      <modifiedWord/>
      <trackRevisions>false</trackRevisions>
    </reviewItem>
    <reviewItem>
      <errorID>9850e1ca-cb5f-4946-994e-1a76a0f91a64</errorID>
      <errorWord>(</errorWord>
      <group>L1_Format</group>
      <groupName>格式问题</groupName>
      <ability>L2_HalfPunc</ability>
      <abilityName>全半角检查</abilityName>
      <candidateList>
        <item>（</item>
      </candidateList>
      <explain>文本全半角错误。</explain>
      <paraID>1082BC02</paraID>
      <start>36</start>
      <end>37</end>
      <status>unmodified</status>
      <modifiedWord/>
      <trackRevisions>false</trackRevisions>
    </reviewItem>
    <reviewItem>
      <errorID>4919917c-a4fc-405f-8e33-e2162470a100</errorID>
      <errorWord>)</errorWord>
      <group>L1_Format</group>
      <groupName>格式问题</groupName>
      <ability>L2_HalfPunc</ability>
      <abilityName>全半角检查</abilityName>
      <candidateList>
        <item>）</item>
      </candidateList>
      <explain>文本全半角错误。</explain>
      <paraID>1082BC02</paraID>
      <start>41</start>
      <end>42</end>
      <status>unmodified</status>
      <modifiedWord/>
      <trackRevisions>false</trackRevisions>
    </reviewItem>
    <reviewItem>
      <errorID>2e2b312d-967f-44fb-874b-c6d63c6b59ef</errorID>
      <errorWord>(</errorWord>
      <group>L1_Format</group>
      <groupName>格式问题</groupName>
      <ability>L2_HalfPunc</ability>
      <abilityName>全半角检查</abilityName>
      <candidateList>
        <item>（</item>
      </candidateList>
      <explain>文本全半角错误。</explain>
      <paraID>234C8860</paraID>
      <start>9</start>
      <end>10</end>
      <status>unmodified</status>
      <modifiedWord/>
      <trackRevisions>false</trackRevisions>
    </reviewItem>
    <reviewItem>
      <errorID>1bf16aa4-3f17-46ef-a62a-2ecedca5e48b</errorID>
      <errorWord>)</errorWord>
      <group>L1_Format</group>
      <groupName>格式问题</groupName>
      <ability>L2_HalfPunc</ability>
      <abilityName>全半角检查</abilityName>
      <candidateList>
        <item>）</item>
      </candidateList>
      <explain>文本全半角错误。</explain>
      <paraID>234C8860</paraID>
      <start>27</start>
      <end>28</end>
      <status>unmodified</status>
      <modifiedWord/>
      <trackRevisions>false</trackRevisions>
    </reviewItem>
    <reviewItem>
      <errorID>797a7a9b-42ca-4780-8f63-9eb02e5dbf90</errorID>
      <errorWord>进入到</errorWord>
      <group>L1_Word</group>
      <groupName>字词问题</groupName>
      <ability>L2_Typo</ability>
      <abilityName>字词错误</abilityName>
      <candidateList>
        <item>进入</item>
      </candidateList>
      <explain>〈动〉支进到某个范围或某个时期里：～学校｜～新阶段◇～角色。</explain>
      <paraID>1B913652</paraID>
      <start>24</start>
      <end>27</end>
      <status>unmodified</status>
      <modifiedWord/>
      <trackRevisions>false</trackRevisions>
    </reviewItem>
    <reviewItem>
      <errorID>df837d3a-c1c2-43fd-8f54-4324dcd70a14</errorID>
      <errorWord>,</errorWord>
      <group>L1_Format</group>
      <groupName>格式问题</groupName>
      <ability>L2_HalfPunc</ability>
      <abilityName>全半角检查</abilityName>
      <candidateList>
        <item>，</item>
      </candidateList>
      <explain>文本全半角错误。</explain>
      <paraID>356CBF3D</paraID>
      <start>29</start>
      <end>30</end>
      <status>unmodified</status>
      <modifiedWord/>
      <trackRevisions>false</trackRevisions>
    </reviewItem>
    <reviewItem>
      <errorID>4bb046d5-0dfb-4bb3-9194-49df1d50baa6</errorID>
      <errorWord>:</errorWord>
      <group>L1_Format</group>
      <groupName>格式问题</groupName>
      <ability>L2_HalfPunc</ability>
      <abilityName>全半角检查</abilityName>
      <candidateList>
        <item>：</item>
      </candidateList>
      <explain>文本全半角错误。</explain>
      <paraID>43B7805E</paraID>
      <start>5</start>
      <end>6</end>
      <status>unmodified</status>
      <modifiedWord/>
      <trackRevisions>false</trackRevisions>
    </reviewItem>
    <reviewItem>
      <errorID>5b6959a7-ea9e-4300-bb8b-c9607fac8a50</errorID>
      <errorWord>)</errorWord>
      <group>L1_Format</group>
      <groupName>格式问题</groupName>
      <ability>L2_HalfPunc</ability>
      <abilityName>全半角检查</abilityName>
      <candidateList>
        <item>）</item>
      </candidateList>
      <explain>文本全半角错误。</explain>
      <paraID>6906779E</paraID>
      <start>22</start>
      <end>23</end>
      <status>unmodified</status>
      <modifiedWord/>
      <trackRevisions>false</trackRevisions>
    </reviewItem>
    <reviewItem>
      <errorID>3d00b396-5461-4a45-80b1-c5d325bea0a6</errorID>
      <errorWord>)</errorWord>
      <group>L1_Format</group>
      <groupName>格式问题</groupName>
      <ability>L2_HalfPunc</ability>
      <abilityName>全半角检查</abilityName>
      <candidateList>
        <item>）</item>
      </candidateList>
      <explain>文本全半角错误。</explain>
      <paraID>6906779E</paraID>
      <start>31</start>
      <end>32</end>
      <status>unmodified</status>
      <modifiedWord/>
      <trackRevisions>false</trackRevisions>
    </reviewItem>
    <reviewItem>
      <errorID>43a59d65-4899-404f-8c7b-606364bf1fc9</errorID>
      <errorWord>)</errorWord>
      <group>L1_Format</group>
      <groupName>格式问题</groupName>
      <ability>L2_HalfPunc</ability>
      <abilityName>全半角检查</abilityName>
      <candidateList>
        <item>）</item>
      </candidateList>
      <explain>文本全半角错误。</explain>
      <paraID>6906779E</paraID>
      <start>41</start>
      <end>42</end>
      <status>unmodified</status>
      <modifiedWord/>
      <trackRevisions>false</trackRevisions>
    </reviewItem>
    <reviewItem>
      <errorID>d2c2056e-143f-4125-b3ee-12e18f62fe66</errorID>
      <errorWord>;</errorWord>
      <group>L1_Format</group>
      <groupName>格式问题</groupName>
      <ability>L2_HalfPunc</ability>
      <abilityName>全半角检查</abilityName>
      <candidateList>
        <item>；</item>
      </candidateList>
      <explain>文本全半角错误。</explain>
      <paraID>7D0497EF</paraID>
      <start>6</start>
      <end>7</end>
      <status>unmodified</status>
      <modifiedWord/>
      <trackRevisions>false</trackRevisions>
    </reviewItem>
    <reviewItem>
      <errorID>7525e941-a33d-4eaa-82d7-072565e9e454</errorID>
      <errorWord>;</errorWord>
      <group>L1_Format</group>
      <groupName>格式问题</groupName>
      <ability>L2_HalfPunc</ability>
      <abilityName>全半角检查</abilityName>
      <candidateList>
        <item>；</item>
      </candidateList>
      <explain>文本全半角错误。</explain>
      <paraID> FB38D6D</paraID>
      <start>7</start>
      <end>8</end>
      <status>unmodified</status>
      <modifiedWord/>
      <trackRevisions>false</trackRevisions>
    </reviewItem>
    <reviewItem>
      <errorID>d9e0e7e7-92bd-408d-8001-4483cb5636c7</errorID>
      <errorWord>;</errorWord>
      <group>L1_Format</group>
      <groupName>格式问题</groupName>
      <ability>L2_HalfPunc</ability>
      <abilityName>全半角检查</abilityName>
      <candidateList>
        <item>；</item>
      </candidateList>
      <explain>文本全半角错误。</explain>
      <paraID> 33BD4F0</paraID>
      <start>14</start>
      <end>15</end>
      <status>unmodified</status>
      <modifiedWord/>
      <trackRevisions>false</trackRevisions>
    </reviewItem>
    <reviewItem>
      <errorID>072853d5-ff3b-480e-8a25-40b06f97c216</errorID>
      <errorWord>;</errorWord>
      <group>L1_Format</group>
      <groupName>格式问题</groupName>
      <ability>L2_HalfPunc</ability>
      <abilityName>全半角检查</abilityName>
      <candidateList>
        <item>；</item>
      </candidateList>
      <explain>文本全半角错误。</explain>
      <paraID>2B694CCB</paraID>
      <start>10</start>
      <end>11</end>
      <status>unmodified</status>
      <modifiedWord/>
      <trackRevisions>false</trackRevisions>
    </reviewItem>
    <reviewItem>
      <errorID>1d7a7502-b417-4f96-8e3a-badc83b00e12</errorID>
      <errorWord>WIFI</errorWord>
      <group>L1_Word</group>
      <groupName>字词问题</groupName>
      <ability>L2_Typo</ability>
      <abilityName>字词错误</abilityName>
      <candidateList>
        <item>Wi-Fi</item>
      </candidateList>
      <explain/>
      <paraID>  CCEE77</paraID>
      <start>16</start>
      <end>20</end>
      <status>unmodified</status>
      <modifiedWord/>
      <trackRevisions>false</trackRevisions>
    </reviewItem>
    <reviewItem>
      <errorID>b4df7837-a4d3-4910-b9c1-f0113b3262c2</errorID>
      <errorWord>;</errorWord>
      <group>L1_Format</group>
      <groupName>格式问题</groupName>
      <ability>L2_HalfPunc</ability>
      <abilityName>全半角检查</abilityName>
      <candidateList>
        <item>；</item>
      </candidateList>
      <explain>文本全半角错误。</explain>
      <paraID>63D58F25</paraID>
      <start>5</start>
      <end>6</end>
      <status>unmodified</status>
      <modifiedWord/>
      <trackRevisions>false</trackRevisions>
    </reviewItem>
    <reviewItem>
      <errorID>a21ed074-8e6e-4b53-a9a0-5b86d6622739</errorID>
      <errorWord>;</errorWord>
      <group>L1_Format</group>
      <groupName>格式问题</groupName>
      <ability>L2_HalfPunc</ability>
      <abilityName>全半角检查</abilityName>
      <candidateList>
        <item>；</item>
      </candidateList>
      <explain>文本全半角错误。</explain>
      <paraID>3987A480</paraID>
      <start>15</start>
      <end>16</end>
      <status>unmodified</status>
      <modifiedWord/>
      <trackRevisions>false</trackRevisions>
    </reviewItem>
    <reviewItem>
      <errorID>51dcc9b7-a185-4545-a1fa-d9a34094a80e</errorID>
      <errorWord>;</errorWord>
      <group>L1_Format</group>
      <groupName>格式问题</groupName>
      <ability>L2_HalfPunc</ability>
      <abilityName>全半角检查</abilityName>
      <candidateList>
        <item>；</item>
      </candidateList>
      <explain>文本全半角错误。</explain>
      <paraID>31AC3CE1</paraID>
      <start>4</start>
      <end>5</end>
      <status>unmodified</status>
      <modifiedWord/>
      <trackRevisions>false</trackRevisions>
    </reviewItem>
    <reviewItem>
      <errorID>14f458bd-237e-4e77-b5b3-720b0500cb94</errorID>
      <errorWord>需具备</errorWord>
      <group>L1_Word</group>
      <groupName>字词问题</groupName>
      <ability>L2_Typo</ability>
      <abilityName>字词错误</abilityName>
      <candidateList>
        <item>须具备</item>
      </candidateList>
      <explain/>
      <paraID> 5DD3C9C</paraID>
      <start>4</start>
      <end>7</end>
      <status>unmodified</status>
      <modifiedWord/>
      <trackRevisions>false</trackRevisions>
    </reviewItem>
    <reviewItem>
      <errorID>c856664c-21a5-467f-99ed-598afbc68016</errorID>
      <errorWord>即</errorWord>
      <group>L1_Word</group>
      <groupName>字词问题</groupName>
      <ability>L2_Typo</ability>
      <abilityName>字词错误</abilityName>
      <candidateList>
        <item>即在</item>
      </candidateList>
      <explain/>
      <paraID> E9404DA</paraID>
      <start>15</start>
      <end>16</end>
      <status>unmodified</status>
      <modifiedWord/>
      <trackRevisions>false</trackRevisions>
    </reviewItem>
    <reviewItem>
      <errorID>5494b00f-0b18-4d8e-a4d3-ba8269c0a7e4</errorID>
      <errorWord>商</errorWord>
      <group>L1_Word</group>
      <groupName>字词问题</groupName>
      <ability>L2_Typo</ability>
      <abilityName>字词错误</abilityName>
      <candidateList>
        <item>商在</item>
      </candidateList>
      <explain/>
      <paraID> E9404DA</paraID>
      <start>20</start>
      <end>21</end>
      <status>unmodified</status>
      <modifiedWord/>
      <trackRevisions>false</trackRevisions>
    </reviewItem>
    <reviewItem>
      <errorID>a1de7b7c-0957-4a3b-b216-466dad1c8336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38FC5C4F</paraID>
      <start>0</start>
      <end>2</end>
      <status>unmodified</status>
      <modifiedWord/>
      <trackRevisions>false</trackRevisions>
    </reviewItem>
    <reviewItem>
      <errorID>6f4c99b4-720d-49b7-b5b7-16870b1effb0</errorID>
      <errorWord>,</errorWord>
      <group>L1_Format</group>
      <groupName>格式问题</groupName>
      <ability>L2_HalfPunc</ability>
      <abilityName>全半角检查</abilityName>
      <candidateList>
        <item>，</item>
      </candidateList>
      <explain>文本全半角错误。</explain>
      <paraID>38FC5C4F</paraID>
      <start>28</start>
      <end>29</end>
      <status>unmodified</status>
      <modifiedWord/>
      <trackRevisions>false</trackRevisions>
    </reviewItem>
    <reviewItem>
      <errorID>27301094-e179-4b4a-a6c6-d42e3016154a</errorID>
      <errorWord>（</errorWord>
      <group>L1_Punc</group>
      <groupName>标点问题</groupName>
      <ability>L2_Punc</ability>
      <abilityName>标点符号检查</abilityName>
      <candidateList/>
      <explain>同一形式括号套用。</explain>
      <paraID>6B11686B</paraID>
      <start>20</start>
      <end>21</end>
      <status>unmodified</status>
      <modifiedWord/>
      <trackRevisions>false</trackRevisions>
    </reviewItem>
    <reviewItem>
      <errorID>9b1e6bc4-0fa6-4502-9948-ff960d516da8</errorID>
      <errorWord>）</errorWord>
      <group>L1_Punc</group>
      <groupName>标点问题</groupName>
      <ability>L2_Punc</ability>
      <abilityName>标点符号检查</abilityName>
      <candidateList/>
      <explain>同一形式括号套用。</explain>
      <paraID>6B11686B</paraID>
      <start>34</start>
      <end>35</end>
      <status>unmodified</status>
      <modifiedWord/>
      <trackRevisions>false</trackRevisions>
    </reviewItem>
    <reviewItem>
      <errorID>a7627adb-42de-4d7a-81fa-5ab843ea8638</errorID>
      <errorWord>.</errorWord>
      <group>L1_Format</group>
      <groupName>格式问题</groupName>
      <ability>L2_HalfPunc</ability>
      <abilityName>全半角检查</abilityName>
      <candidateList>
        <item>。</item>
      </candidateList>
      <explain>文本全半角错误。</explain>
      <paraID>2BEC069D</paraID>
      <start>67</start>
      <end>68</end>
      <status>unmodified</status>
      <modifiedWord/>
      <trackRevisions>false</trackRevisions>
    </reviewItem>
    <reviewItem>
      <errorID>6396fdf5-c4da-4987-8e4b-bc06d362dca7</errorID>
      <errorWord>、</errorWord>
      <group>L1_Word</group>
      <groupName>字词问题</groupName>
      <ability>L2_Typo</ability>
      <abilityName>字词错误</abilityName>
      <candidateList>
        <item>、具</item>
      </candidateList>
      <explain/>
      <paraID>179E55DA</paraID>
      <start>90</start>
      <end>91</end>
      <status>unmodified</status>
      <modifiedWord/>
      <trackRevisions>false</trackRevisions>
    </reviewItem>
    <reviewItem>
      <errorID>dd8b2a96-b0ea-40de-98c5-e3448f763857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7D8BAEF2</paraID>
      <start>0</start>
      <end>2</end>
      <status>unmodified</status>
      <modifiedWord/>
      <trackRevisions>false</trackRevisions>
    </reviewItem>
    <reviewItem>
      <errorID>6ee135af-fea1-4635-8b9e-25135e1211c1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4F5CE950</paraID>
      <start>0</start>
      <end>2</end>
      <status>unmodified</status>
      <modifiedWord/>
      <trackRevisions>false</trackRevisions>
    </reviewItem>
    <reviewItem>
      <errorID>6fb49ed1-5949-4eb6-b542-60495425a461</errorID>
      <errorWord>.</errorWord>
      <group>L1_Format</group>
      <groupName>格式问题</groupName>
      <ability>L2_HalfPunc</ability>
      <abilityName>全半角检查</abilityName>
      <candidateList>
        <item>。</item>
      </candidateList>
      <explain>文本全半角错误。</explain>
      <paraID>4F5CE950</paraID>
      <start>29</start>
      <end>30</end>
      <status>unmodified</status>
      <modifiedWord/>
      <trackRevisions>false</trackRevisions>
    </reviewItem>
    <reviewItem>
      <errorID>d3fab9e4-cd07-4b18-a572-67f2248fa610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6BB58CE6</paraID>
      <start>0</start>
      <end>2</end>
      <status>unmodified</status>
      <modifiedWord/>
      <trackRevisions>false</trackRevisions>
    </reviewItem>
    <reviewItem>
      <errorID>18b0d6a1-caed-43a3-8c6f-ec8e77610c1c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59F6C179</paraID>
      <start>0</start>
      <end>2</end>
      <status>unmodified</status>
      <modifiedWord/>
      <trackRevisions>false</trackRevisions>
    </reviewItem>
    <reviewItem>
      <errorID>c53e54ef-f247-48ee-ae86-94d08a89fedd</errorID>
      <errorWord>间</errorWord>
      <group>L1_Word</group>
      <groupName>字词问题</groupName>
      <ability>L2_Typo</ability>
      <abilityName>字词错误</abilityName>
      <candidateList>
        <item>间内</item>
      </candidateList>
      <explain/>
      <paraID>12091B6E</paraID>
      <start>47</start>
      <end>48</end>
      <status>unmodified</status>
      <modifiedWord/>
      <trackRevisions>false</trackRevisions>
    </reviewItem>
    <reviewItem>
      <errorID>f8af928e-47e0-4261-8354-a2ef3a1f7242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6D3544CD</paraID>
      <start>0</start>
      <end>2</end>
      <status>unmodified</status>
      <modifiedWord/>
      <trackRevisions>false</trackRevisions>
    </reviewItem>
    <reviewItem>
      <errorID>279f2b0a-d991-4b91-a5b5-291565dba307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2A16F66B</paraID>
      <start>0</start>
      <end>2</end>
      <status>unmodified</status>
      <modifiedWord/>
      <trackRevisions>false</trackRevisions>
    </reviewItem>
    <reviewItem>
      <errorID>a3413444-b922-45b8-a29a-85bb360786f6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73168F9B</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C742B6-F8C6-4392-A626-86FE28CE73C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沈津津</cp:lastModifiedBy>
  <cp:revision>12</cp:revision>
  <dcterms:created xsi:type="dcterms:W3CDTF">2025-04-24T15:07:00Z</dcterms:created>
  <dcterms:modified xsi:type="dcterms:W3CDTF">2026-05-13T07:28:19Z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2F7D535B065C49D88A61742D3FB1DCA1_13</vt:lpwstr>
  </property>
  <property fmtid="{D5CDD505-2E9C-101B-9397-08002B2CF9AE}" pid="4" name="KSOTemplateDocerSaveRecord">
    <vt:lpwstr>eyJoZGlkIjoiMzEwNTM5NzYwMDRjMzkwZTVkZjY2ODkwMGIxNGU0OTUiLCJ1c2VySWQiOiIxMTQyNTk4MDg3In0=</vt:lpwstr>
  </property>
</Properties>
</file>